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41" w:rsidRPr="00026DEC" w:rsidRDefault="00687941" w:rsidP="005A4775">
      <w:pPr>
        <w:autoSpaceDE w:val="0"/>
        <w:autoSpaceDN w:val="0"/>
        <w:adjustRightInd w:val="0"/>
        <w:spacing w:after="0" w:line="240" w:lineRule="auto"/>
        <w:jc w:val="center"/>
        <w:rPr>
          <w:rFonts w:asciiTheme="majorHAnsi" w:hAnsiTheme="majorHAnsi" w:cs="Times New Roman"/>
          <w:b/>
          <w:bCs/>
        </w:rPr>
      </w:pPr>
      <w:bookmarkStart w:id="0" w:name="_GoBack"/>
      <w:bookmarkEnd w:id="0"/>
      <w:r w:rsidRPr="00026DEC">
        <w:rPr>
          <w:rFonts w:asciiTheme="majorHAnsi" w:hAnsiTheme="majorHAnsi" w:cs="Times New Roman"/>
          <w:b/>
          <w:bCs/>
        </w:rPr>
        <w:t xml:space="preserve">CITY OF </w:t>
      </w:r>
      <w:r w:rsidR="00E25A16" w:rsidRPr="00026DEC">
        <w:rPr>
          <w:rFonts w:asciiTheme="majorHAnsi" w:hAnsiTheme="majorHAnsi" w:cs="Times New Roman"/>
          <w:b/>
          <w:bCs/>
        </w:rPr>
        <w:t>REIDSVILLE</w:t>
      </w:r>
      <w:r w:rsidR="000443E9" w:rsidRPr="00026DEC">
        <w:rPr>
          <w:rFonts w:asciiTheme="majorHAnsi" w:hAnsiTheme="majorHAnsi" w:cs="Times New Roman"/>
          <w:b/>
          <w:bCs/>
        </w:rPr>
        <w:t xml:space="preserve"> </w:t>
      </w:r>
      <w:r w:rsidRPr="00026DEC">
        <w:rPr>
          <w:rFonts w:asciiTheme="majorHAnsi" w:hAnsiTheme="majorHAnsi" w:cs="Times New Roman"/>
          <w:b/>
          <w:bCs/>
        </w:rPr>
        <w:t>FATS, OILS, AND GREASE ENFORCEMENT RESPONSE PLAN</w:t>
      </w:r>
    </w:p>
    <w:p w:rsidR="000443E9" w:rsidRPr="00026DEC" w:rsidRDefault="000443E9" w:rsidP="00687941">
      <w:pPr>
        <w:autoSpaceDE w:val="0"/>
        <w:autoSpaceDN w:val="0"/>
        <w:adjustRightInd w:val="0"/>
        <w:spacing w:after="0" w:line="240" w:lineRule="auto"/>
        <w:rPr>
          <w:rFonts w:asciiTheme="majorHAnsi" w:hAnsiTheme="majorHAnsi" w:cs="Times New Roman"/>
          <w:b/>
          <w:bCs/>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Section 1- Introduction</w:t>
      </w: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0443E9"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This Fats, Oils, and Grease Enforcement Response Plan [FOG ERP] document is a statement of</w:t>
      </w:r>
      <w:r w:rsid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policy by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It is NOT a regulation, code or statute and the City has the</w:t>
      </w:r>
      <w:r w:rsidR="00026DEC">
        <w:rPr>
          <w:rFonts w:asciiTheme="majorHAnsi" w:hAnsiTheme="majorHAnsi" w:cs="Times New Roman"/>
          <w:sz w:val="24"/>
          <w:szCs w:val="24"/>
        </w:rPr>
        <w:t xml:space="preserve"> </w:t>
      </w:r>
      <w:r w:rsidRPr="00026DEC">
        <w:rPr>
          <w:rFonts w:asciiTheme="majorHAnsi" w:hAnsiTheme="majorHAnsi" w:cs="Times New Roman"/>
          <w:sz w:val="24"/>
          <w:szCs w:val="24"/>
        </w:rPr>
        <w:t>authority to amend this policy at any time in order to more effectively implement the City of</w:t>
      </w:r>
      <w:r w:rsidR="00026DEC">
        <w:rPr>
          <w:rFonts w:asciiTheme="majorHAnsi" w:hAnsiTheme="majorHAnsi" w:cs="Times New Roman"/>
          <w:sz w:val="24"/>
          <w:szCs w:val="24"/>
        </w:rPr>
        <w:t xml:space="preserve"> </w:t>
      </w:r>
      <w:r w:rsidR="00E25A16" w:rsidRPr="00026DEC">
        <w:rPr>
          <w:rFonts w:asciiTheme="majorHAnsi" w:hAnsiTheme="majorHAnsi" w:cs="Times New Roman"/>
          <w:sz w:val="24"/>
          <w:szCs w:val="24"/>
        </w:rPr>
        <w:t>Reidsville</w:t>
      </w:r>
      <w:r w:rsidR="00377864" w:rsidRPr="00026DEC">
        <w:rPr>
          <w:rFonts w:asciiTheme="majorHAnsi" w:hAnsiTheme="majorHAnsi" w:cs="Times New Roman"/>
          <w:sz w:val="24"/>
          <w:szCs w:val="24"/>
        </w:rPr>
        <w:t xml:space="preserve"> S</w:t>
      </w:r>
      <w:r w:rsidR="00517195" w:rsidRPr="00026DEC">
        <w:rPr>
          <w:rFonts w:asciiTheme="majorHAnsi" w:hAnsiTheme="majorHAnsi" w:cs="Times New Roman"/>
          <w:sz w:val="24"/>
          <w:szCs w:val="24"/>
        </w:rPr>
        <w:t>ewer Use and Pretreatment Ordinance</w:t>
      </w:r>
      <w:r w:rsidR="0026767C" w:rsidRPr="00026DEC">
        <w:rPr>
          <w:rFonts w:asciiTheme="majorHAnsi" w:hAnsiTheme="majorHAnsi" w:cs="Times New Roman"/>
          <w:sz w:val="24"/>
          <w:szCs w:val="24"/>
        </w:rPr>
        <w:t xml:space="preserve"> regarding</w:t>
      </w:r>
      <w:r w:rsidRPr="00026DEC">
        <w:rPr>
          <w:rFonts w:asciiTheme="majorHAnsi" w:hAnsiTheme="majorHAnsi" w:cs="Times New Roman"/>
          <w:sz w:val="24"/>
          <w:szCs w:val="24"/>
        </w:rPr>
        <w:t xml:space="preserve"> Fats, Oils and Grease </w:t>
      </w:r>
      <w:r w:rsidR="00CE0F10" w:rsidRPr="00026DEC">
        <w:rPr>
          <w:rFonts w:asciiTheme="majorHAnsi" w:hAnsiTheme="majorHAnsi" w:cs="Times New Roman"/>
          <w:sz w:val="24"/>
          <w:szCs w:val="24"/>
        </w:rPr>
        <w:t xml:space="preserve">Control. </w:t>
      </w:r>
      <w:r w:rsidRPr="00026DEC">
        <w:rPr>
          <w:rFonts w:asciiTheme="majorHAnsi" w:hAnsiTheme="majorHAnsi" w:cs="Times New Roman"/>
          <w:sz w:val="24"/>
          <w:szCs w:val="24"/>
        </w:rPr>
        <w:t xml:space="preserve">This plan has been developed for guidance and is not intended to create legal rights or obligations, or to limit the enforcement discretion of the FOG Coordinator or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 xml:space="preserve">This FOG Enforcement Response Plan is an effective way to ensure that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takes fair, consistent and equitable enforcement actions against food service establishments (FSE) for violations of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Sewer User and Pretreatment Ordinance. It should be noted that, even with an FOG ERP, judgment and flexibility will be needed at times in response to unusual instances of noncompliance. Some violations may require a response that deviates from the ERP depending on the particulars of the situation.</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 xml:space="preserve">The enforcement philosophy of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is progressive, in that problems are addressed at the lowest level and with the least formality possible consistent with the specific violation.</w:t>
      </w:r>
      <w:r w:rsidR="00026DEC">
        <w:rPr>
          <w:rFonts w:asciiTheme="majorHAnsi" w:hAnsiTheme="majorHAnsi" w:cs="Times New Roman"/>
          <w:sz w:val="24"/>
          <w:szCs w:val="24"/>
        </w:rPr>
        <w:t xml:space="preserve"> </w:t>
      </w:r>
      <w:r w:rsidRPr="00026DEC">
        <w:rPr>
          <w:rFonts w:asciiTheme="majorHAnsi" w:hAnsiTheme="majorHAnsi" w:cs="Times New Roman"/>
          <w:sz w:val="24"/>
          <w:szCs w:val="24"/>
        </w:rPr>
        <w:t>However, no enforcement procedure is contingent upon the completion of any “lesser” activity.</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In general, enforcement actions against</w:t>
      </w:r>
      <w:r w:rsidR="008E25B8">
        <w:rPr>
          <w:rFonts w:asciiTheme="majorHAnsi" w:hAnsiTheme="majorHAnsi" w:cs="Times New Roman"/>
          <w:sz w:val="24"/>
          <w:szCs w:val="24"/>
        </w:rPr>
        <w:t xml:space="preserve"> the</w:t>
      </w:r>
      <w:r w:rsidRPr="00026DEC">
        <w:rPr>
          <w:rFonts w:asciiTheme="majorHAnsi" w:hAnsiTheme="majorHAnsi" w:cs="Times New Roman"/>
          <w:sz w:val="24"/>
          <w:szCs w:val="24"/>
        </w:rPr>
        <w:t xml:space="preserve"> food service establishment (FSE) will be taken in accordance</w:t>
      </w:r>
      <w:r w:rsidR="00E25A16"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with this Enforcement Response Plan, however, the enforcement actions listed here are not exclusive and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reserves the right to implement other enforcement responses available to it under the Sewer User </w:t>
      </w:r>
      <w:r w:rsidR="008E25B8">
        <w:rPr>
          <w:rFonts w:asciiTheme="majorHAnsi" w:hAnsiTheme="majorHAnsi" w:cs="Times New Roman"/>
          <w:sz w:val="24"/>
          <w:szCs w:val="24"/>
        </w:rPr>
        <w:t xml:space="preserve">and Pretreatment </w:t>
      </w:r>
      <w:r w:rsidRPr="00026DEC">
        <w:rPr>
          <w:rFonts w:asciiTheme="majorHAnsi" w:hAnsiTheme="majorHAnsi" w:cs="Times New Roman"/>
          <w:sz w:val="24"/>
          <w:szCs w:val="24"/>
        </w:rPr>
        <w:t>Ordinance and North Carolina law, separately or in combination with these responses.</w:t>
      </w:r>
    </w:p>
    <w:p w:rsidR="000443E9" w:rsidRPr="00026DEC" w:rsidRDefault="000443E9"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 xml:space="preserve">Section 2 - Enforcement Actions Available </w:t>
      </w:r>
      <w:r w:rsidR="00517195" w:rsidRPr="00026DEC">
        <w:rPr>
          <w:rFonts w:asciiTheme="majorHAnsi" w:hAnsiTheme="majorHAnsi" w:cs="Times New Roman"/>
          <w:b/>
          <w:bCs/>
          <w:sz w:val="24"/>
          <w:szCs w:val="24"/>
        </w:rPr>
        <w:t>For</w:t>
      </w:r>
      <w:r w:rsidRPr="00026DEC">
        <w:rPr>
          <w:rFonts w:asciiTheme="majorHAnsi" w:hAnsiTheme="majorHAnsi" w:cs="Times New Roman"/>
          <w:b/>
          <w:bCs/>
          <w:sz w:val="24"/>
          <w:szCs w:val="24"/>
        </w:rPr>
        <w:t xml:space="preserve"> Fats, Oils and Grease Control </w:t>
      </w: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 xml:space="preserve">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is empowered by North Carolina General Statutes (NCGS) 143-215.6A and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Sewer Use and Pretreatment Ordinance to take a wide variety of enforcement actions. The following is a list of those actions.</w:t>
      </w:r>
    </w:p>
    <w:p w:rsidR="000443E9" w:rsidRPr="00026DEC" w:rsidRDefault="000443E9"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5A4775">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I</w:t>
      </w:r>
      <w:r w:rsidR="005A4775">
        <w:rPr>
          <w:rFonts w:asciiTheme="majorHAnsi" w:hAnsiTheme="majorHAnsi" w:cs="Times New Roman"/>
          <w:b/>
          <w:bCs/>
          <w:sz w:val="24"/>
          <w:szCs w:val="24"/>
        </w:rPr>
        <w:t>nformal</w:t>
      </w:r>
      <w:r w:rsidRPr="00026DEC">
        <w:rPr>
          <w:rFonts w:asciiTheme="majorHAnsi" w:hAnsiTheme="majorHAnsi" w:cs="Times New Roman"/>
          <w:b/>
          <w:bCs/>
          <w:sz w:val="24"/>
          <w:szCs w:val="24"/>
        </w:rPr>
        <w:t xml:space="preserve"> E</w:t>
      </w:r>
      <w:r w:rsidR="005A4775">
        <w:rPr>
          <w:rFonts w:asciiTheme="majorHAnsi" w:hAnsiTheme="majorHAnsi" w:cs="Times New Roman"/>
          <w:b/>
          <w:bCs/>
          <w:sz w:val="24"/>
          <w:szCs w:val="24"/>
        </w:rPr>
        <w:t>nforcement</w:t>
      </w:r>
      <w:r w:rsidRPr="00026DEC">
        <w:rPr>
          <w:rFonts w:asciiTheme="majorHAnsi" w:hAnsiTheme="majorHAnsi" w:cs="Times New Roman"/>
          <w:b/>
          <w:bCs/>
          <w:sz w:val="24"/>
          <w:szCs w:val="24"/>
        </w:rPr>
        <w:t xml:space="preserve"> N</w:t>
      </w:r>
      <w:r w:rsidR="005A4775">
        <w:rPr>
          <w:rFonts w:asciiTheme="majorHAnsi" w:hAnsiTheme="majorHAnsi" w:cs="Times New Roman"/>
          <w:b/>
          <w:bCs/>
          <w:sz w:val="24"/>
          <w:szCs w:val="24"/>
        </w:rPr>
        <w:t xml:space="preserve">otification </w:t>
      </w:r>
      <w:r w:rsidRPr="00026DEC">
        <w:rPr>
          <w:rFonts w:asciiTheme="majorHAnsi" w:hAnsiTheme="majorHAnsi" w:cs="Times New Roman"/>
          <w:b/>
          <w:bCs/>
          <w:sz w:val="24"/>
          <w:szCs w:val="24"/>
        </w:rPr>
        <w:t>/</w:t>
      </w:r>
      <w:r w:rsidR="005A4775">
        <w:rPr>
          <w:rFonts w:asciiTheme="majorHAnsi" w:hAnsiTheme="majorHAnsi" w:cs="Times New Roman"/>
          <w:b/>
          <w:bCs/>
          <w:sz w:val="24"/>
          <w:szCs w:val="24"/>
        </w:rPr>
        <w:t xml:space="preserve"> </w:t>
      </w:r>
      <w:r w:rsidRPr="00026DEC">
        <w:rPr>
          <w:rFonts w:asciiTheme="majorHAnsi" w:hAnsiTheme="majorHAnsi" w:cs="Times New Roman"/>
          <w:b/>
          <w:bCs/>
          <w:sz w:val="24"/>
          <w:szCs w:val="24"/>
        </w:rPr>
        <w:t>A</w:t>
      </w:r>
      <w:r w:rsidR="005A4775">
        <w:rPr>
          <w:rFonts w:asciiTheme="majorHAnsi" w:hAnsiTheme="majorHAnsi" w:cs="Times New Roman"/>
          <w:b/>
          <w:bCs/>
          <w:sz w:val="24"/>
          <w:szCs w:val="24"/>
        </w:rPr>
        <w:t>ctions</w:t>
      </w:r>
    </w:p>
    <w:p w:rsidR="00517195" w:rsidRPr="00026DEC" w:rsidRDefault="00517195" w:rsidP="00687941">
      <w:pPr>
        <w:autoSpaceDE w:val="0"/>
        <w:autoSpaceDN w:val="0"/>
        <w:adjustRightInd w:val="0"/>
        <w:spacing w:after="0" w:line="240" w:lineRule="auto"/>
        <w:rPr>
          <w:rFonts w:asciiTheme="majorHAnsi" w:hAnsiTheme="majorHAnsi" w:cs="Times New Roman"/>
          <w:b/>
          <w:bCs/>
          <w:sz w:val="24"/>
          <w:szCs w:val="24"/>
        </w:rPr>
      </w:pPr>
    </w:p>
    <w:p w:rsidR="00687941" w:rsidRPr="005A4775" w:rsidRDefault="00687941" w:rsidP="005A4775">
      <w:pPr>
        <w:pStyle w:val="ListParagraph"/>
        <w:numPr>
          <w:ilvl w:val="0"/>
          <w:numId w:val="3"/>
        </w:numPr>
        <w:autoSpaceDE w:val="0"/>
        <w:autoSpaceDN w:val="0"/>
        <w:adjustRightInd w:val="0"/>
        <w:spacing w:after="0" w:line="240" w:lineRule="auto"/>
        <w:rPr>
          <w:rFonts w:asciiTheme="majorHAnsi" w:hAnsiTheme="majorHAnsi" w:cs="Times New Roman"/>
          <w:b/>
          <w:bCs/>
          <w:sz w:val="24"/>
          <w:szCs w:val="24"/>
        </w:rPr>
      </w:pPr>
      <w:r w:rsidRPr="005A4775">
        <w:rPr>
          <w:rFonts w:asciiTheme="majorHAnsi" w:hAnsiTheme="majorHAnsi" w:cs="Times New Roman"/>
          <w:b/>
          <w:bCs/>
          <w:sz w:val="24"/>
          <w:szCs w:val="24"/>
        </w:rPr>
        <w:t>Notice of Deficiency</w:t>
      </w:r>
      <w:r w:rsidR="00377864" w:rsidRPr="005A4775">
        <w:rPr>
          <w:rFonts w:asciiTheme="majorHAnsi" w:hAnsiTheme="majorHAnsi" w:cs="Times New Roman"/>
          <w:b/>
          <w:bCs/>
          <w:sz w:val="24"/>
          <w:szCs w:val="24"/>
        </w:rPr>
        <w:t xml:space="preserve"> </w:t>
      </w:r>
      <w:r w:rsidRPr="005A4775">
        <w:rPr>
          <w:rFonts w:asciiTheme="majorHAnsi" w:hAnsiTheme="majorHAnsi" w:cs="Times New Roman"/>
          <w:b/>
          <w:bCs/>
          <w:sz w:val="24"/>
          <w:szCs w:val="24"/>
        </w:rPr>
        <w:t>[NOD] and/or Notice to Correct [NTC]</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Written notice that a violation/deficiency has occurred and should</w:t>
      </w:r>
      <w:r w:rsidR="00386C79" w:rsidRPr="00026DEC">
        <w:rPr>
          <w:rFonts w:asciiTheme="majorHAnsi" w:hAnsiTheme="majorHAnsi" w:cs="Times New Roman"/>
          <w:sz w:val="24"/>
          <w:szCs w:val="24"/>
        </w:rPr>
        <w:t xml:space="preserve"> </w:t>
      </w:r>
      <w:r w:rsidRPr="00026DEC">
        <w:rPr>
          <w:rFonts w:asciiTheme="majorHAnsi" w:hAnsiTheme="majorHAnsi" w:cs="Times New Roman"/>
          <w:sz w:val="24"/>
          <w:szCs w:val="24"/>
        </w:rPr>
        <w:t>be corrected. In general, NTCs are used for minor isolated</w:t>
      </w:r>
      <w:r w:rsidR="00386C79" w:rsidRPr="00026DEC">
        <w:rPr>
          <w:rFonts w:asciiTheme="majorHAnsi" w:hAnsiTheme="majorHAnsi" w:cs="Times New Roman"/>
          <w:sz w:val="24"/>
          <w:szCs w:val="24"/>
        </w:rPr>
        <w:t xml:space="preserve"> </w:t>
      </w:r>
      <w:r w:rsidRPr="00026DEC">
        <w:rPr>
          <w:rFonts w:asciiTheme="majorHAnsi" w:hAnsiTheme="majorHAnsi" w:cs="Times New Roman"/>
          <w:sz w:val="24"/>
          <w:szCs w:val="24"/>
        </w:rPr>
        <w:t>violations or as an initial step leading to an escalated enforcement</w:t>
      </w:r>
      <w:r w:rsidR="005A4775">
        <w:rPr>
          <w:rFonts w:asciiTheme="majorHAnsi" w:hAnsiTheme="majorHAnsi" w:cs="Times New Roman"/>
          <w:sz w:val="24"/>
          <w:szCs w:val="24"/>
        </w:rPr>
        <w:t xml:space="preserve"> </w:t>
      </w:r>
      <w:r w:rsidRPr="00026DEC">
        <w:rPr>
          <w:rFonts w:asciiTheme="majorHAnsi" w:hAnsiTheme="majorHAnsi" w:cs="Times New Roman"/>
          <w:sz w:val="24"/>
          <w:szCs w:val="24"/>
        </w:rPr>
        <w:t>response. NODs/NTCs are documented and kept on file.</w:t>
      </w:r>
    </w:p>
    <w:p w:rsidR="00687941" w:rsidRDefault="00687941" w:rsidP="00687941">
      <w:pPr>
        <w:autoSpaceDE w:val="0"/>
        <w:autoSpaceDN w:val="0"/>
        <w:adjustRightInd w:val="0"/>
        <w:spacing w:after="0" w:line="240" w:lineRule="auto"/>
        <w:rPr>
          <w:rFonts w:asciiTheme="majorHAnsi" w:hAnsiTheme="majorHAnsi" w:cs="Times New Roman"/>
          <w:sz w:val="24"/>
          <w:szCs w:val="24"/>
        </w:rPr>
      </w:pP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5A4775" w:rsidRPr="00026DEC" w:rsidRDefault="005A4775" w:rsidP="00687941">
      <w:pPr>
        <w:autoSpaceDE w:val="0"/>
        <w:autoSpaceDN w:val="0"/>
        <w:adjustRightInd w:val="0"/>
        <w:spacing w:after="0" w:line="240" w:lineRule="auto"/>
        <w:rPr>
          <w:rFonts w:asciiTheme="majorHAnsi" w:hAnsiTheme="majorHAnsi" w:cs="Times New Roman"/>
          <w:sz w:val="24"/>
          <w:szCs w:val="24"/>
        </w:rPr>
      </w:pPr>
    </w:p>
    <w:p w:rsidR="005A4775" w:rsidRDefault="00687941" w:rsidP="005A4775">
      <w:pPr>
        <w:pStyle w:val="ListParagraph"/>
        <w:numPr>
          <w:ilvl w:val="0"/>
          <w:numId w:val="3"/>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lastRenderedPageBreak/>
        <w:t>Enforcement Meeting</w:t>
      </w:r>
    </w:p>
    <w:p w:rsidR="00687941" w:rsidRPr="00026DEC" w:rsidRDefault="008E25B8" w:rsidP="005A4775">
      <w:pPr>
        <w:autoSpaceDE w:val="0"/>
        <w:autoSpaceDN w:val="0"/>
        <w:adjustRightInd w:val="0"/>
        <w:spacing w:after="0" w:line="240" w:lineRule="auto"/>
        <w:ind w:left="720"/>
        <w:rPr>
          <w:rFonts w:asciiTheme="majorHAnsi" w:hAnsiTheme="majorHAnsi" w:cs="Times New Roman"/>
          <w:sz w:val="24"/>
          <w:szCs w:val="24"/>
        </w:rPr>
      </w:pPr>
      <w:r>
        <w:rPr>
          <w:rFonts w:asciiTheme="majorHAnsi" w:hAnsiTheme="majorHAnsi" w:cs="Times New Roman"/>
          <w:sz w:val="24"/>
          <w:szCs w:val="24"/>
        </w:rPr>
        <w:t>An i</w:t>
      </w:r>
      <w:r w:rsidR="00687941" w:rsidRPr="00026DEC">
        <w:rPr>
          <w:rFonts w:asciiTheme="majorHAnsi" w:hAnsiTheme="majorHAnsi" w:cs="Times New Roman"/>
          <w:sz w:val="24"/>
          <w:szCs w:val="24"/>
        </w:rPr>
        <w:t>nformal meeting used to gather information concerning</w:t>
      </w:r>
      <w:r w:rsidR="008D0728" w:rsidRPr="00026DEC">
        <w:rPr>
          <w:rFonts w:asciiTheme="majorHAnsi" w:hAnsiTheme="majorHAnsi" w:cs="Times New Roman"/>
          <w:sz w:val="24"/>
          <w:szCs w:val="24"/>
        </w:rPr>
        <w:t xml:space="preserve"> </w:t>
      </w:r>
      <w:r w:rsidR="00687941" w:rsidRPr="00026DEC">
        <w:rPr>
          <w:rFonts w:asciiTheme="majorHAnsi" w:hAnsiTheme="majorHAnsi" w:cs="Times New Roman"/>
          <w:sz w:val="24"/>
          <w:szCs w:val="24"/>
        </w:rPr>
        <w:t>noncompliance, discuss steps to alleviate noncompliance and</w:t>
      </w:r>
      <w:r w:rsidR="008D0728" w:rsidRPr="00026DEC">
        <w:rPr>
          <w:rFonts w:asciiTheme="majorHAnsi" w:hAnsiTheme="majorHAnsi" w:cs="Times New Roman"/>
          <w:sz w:val="24"/>
          <w:szCs w:val="24"/>
        </w:rPr>
        <w:t xml:space="preserve"> </w:t>
      </w:r>
      <w:r w:rsidR="00687941" w:rsidRPr="00026DEC">
        <w:rPr>
          <w:rFonts w:asciiTheme="majorHAnsi" w:hAnsiTheme="majorHAnsi" w:cs="Times New Roman"/>
          <w:sz w:val="24"/>
          <w:szCs w:val="24"/>
        </w:rPr>
        <w:t>determine the commitment level of the food service establishment.</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3"/>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Initiation of Self- Monitoring</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 xml:space="preserve">Notice to </w:t>
      </w:r>
      <w:r w:rsidR="008E25B8">
        <w:rPr>
          <w:rFonts w:asciiTheme="majorHAnsi" w:hAnsiTheme="majorHAnsi" w:cs="Times New Roman"/>
          <w:sz w:val="24"/>
          <w:szCs w:val="24"/>
        </w:rPr>
        <w:t xml:space="preserve">the property owner </w:t>
      </w:r>
      <w:r w:rsidR="00E83F18">
        <w:rPr>
          <w:rFonts w:asciiTheme="majorHAnsi" w:hAnsiTheme="majorHAnsi" w:cs="Times New Roman"/>
          <w:sz w:val="24"/>
          <w:szCs w:val="24"/>
        </w:rPr>
        <w:t xml:space="preserve">or </w:t>
      </w:r>
      <w:r w:rsidR="00E83F18" w:rsidRPr="00026DEC">
        <w:rPr>
          <w:rFonts w:asciiTheme="majorHAnsi" w:hAnsiTheme="majorHAnsi" w:cs="Times New Roman"/>
          <w:sz w:val="24"/>
          <w:szCs w:val="24"/>
        </w:rPr>
        <w:t xml:space="preserve">FSE </w:t>
      </w:r>
      <w:r w:rsidR="00E83F18">
        <w:rPr>
          <w:rFonts w:asciiTheme="majorHAnsi" w:hAnsiTheme="majorHAnsi" w:cs="Times New Roman"/>
          <w:sz w:val="24"/>
          <w:szCs w:val="24"/>
        </w:rPr>
        <w:t>owner</w:t>
      </w:r>
      <w:r w:rsidR="008E25B8">
        <w:rPr>
          <w:rFonts w:asciiTheme="majorHAnsi" w:hAnsiTheme="majorHAnsi" w:cs="Times New Roman"/>
          <w:sz w:val="24"/>
          <w:szCs w:val="24"/>
        </w:rPr>
        <w:t xml:space="preserve"> </w:t>
      </w:r>
      <w:r w:rsidRPr="00026DEC">
        <w:rPr>
          <w:rFonts w:asciiTheme="majorHAnsi" w:hAnsiTheme="majorHAnsi" w:cs="Times New Roman"/>
          <w:sz w:val="24"/>
          <w:szCs w:val="24"/>
        </w:rPr>
        <w:t>to begin self-monitoring the effluent from the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food preparation process discharge from the facility.</w:t>
      </w:r>
    </w:p>
    <w:p w:rsidR="00377864" w:rsidRPr="005A4775" w:rsidRDefault="00377864"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3"/>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Employee Training Requirement</w:t>
      </w:r>
    </w:p>
    <w:p w:rsidR="00687941" w:rsidRPr="00026DEC" w:rsidRDefault="008E25B8" w:rsidP="005A4775">
      <w:pPr>
        <w:autoSpaceDE w:val="0"/>
        <w:autoSpaceDN w:val="0"/>
        <w:adjustRightInd w:val="0"/>
        <w:spacing w:after="0" w:line="240" w:lineRule="auto"/>
        <w:ind w:left="720"/>
        <w:rPr>
          <w:rFonts w:asciiTheme="majorHAnsi" w:hAnsiTheme="majorHAnsi" w:cs="Times New Roman"/>
          <w:sz w:val="24"/>
          <w:szCs w:val="24"/>
        </w:rPr>
      </w:pPr>
      <w:r>
        <w:rPr>
          <w:rFonts w:asciiTheme="majorHAnsi" w:hAnsiTheme="majorHAnsi" w:cs="Times New Roman"/>
          <w:sz w:val="24"/>
          <w:szCs w:val="24"/>
        </w:rPr>
        <w:t>W</w:t>
      </w:r>
      <w:r w:rsidR="00687941" w:rsidRPr="00026DEC">
        <w:rPr>
          <w:rFonts w:asciiTheme="majorHAnsi" w:hAnsiTheme="majorHAnsi" w:cs="Times New Roman"/>
          <w:sz w:val="24"/>
          <w:szCs w:val="24"/>
        </w:rPr>
        <w:t>hen the FOG coordinator feels that a violation has been</w:t>
      </w:r>
      <w:r w:rsidR="008D0728" w:rsidRPr="00026DEC">
        <w:rPr>
          <w:rFonts w:asciiTheme="majorHAnsi" w:hAnsiTheme="majorHAnsi" w:cs="Times New Roman"/>
          <w:sz w:val="24"/>
          <w:szCs w:val="24"/>
        </w:rPr>
        <w:t xml:space="preserve"> </w:t>
      </w:r>
      <w:r w:rsidR="00687941" w:rsidRPr="00026DEC">
        <w:rPr>
          <w:rFonts w:asciiTheme="majorHAnsi" w:hAnsiTheme="majorHAnsi" w:cs="Times New Roman"/>
          <w:sz w:val="24"/>
          <w:szCs w:val="24"/>
        </w:rPr>
        <w:t>caused by a food service establishment employee</w:t>
      </w:r>
      <w:r>
        <w:rPr>
          <w:rFonts w:asciiTheme="majorHAnsi" w:hAnsiTheme="majorHAnsi" w:cs="Times New Roman"/>
          <w:sz w:val="24"/>
          <w:szCs w:val="24"/>
        </w:rPr>
        <w:t xml:space="preserve"> training may be required to obtain</w:t>
      </w:r>
      <w:r w:rsidR="008D0728" w:rsidRPr="00026DEC">
        <w:rPr>
          <w:rFonts w:asciiTheme="majorHAnsi" w:hAnsiTheme="majorHAnsi" w:cs="Times New Roman"/>
          <w:sz w:val="24"/>
          <w:szCs w:val="24"/>
        </w:rPr>
        <w:t xml:space="preserve"> </w:t>
      </w:r>
      <w:r w:rsidR="00687941" w:rsidRPr="00026DEC">
        <w:rPr>
          <w:rFonts w:asciiTheme="majorHAnsi" w:hAnsiTheme="majorHAnsi" w:cs="Times New Roman"/>
          <w:sz w:val="24"/>
          <w:szCs w:val="24"/>
        </w:rPr>
        <w:t xml:space="preserve">knowledge concerning FOG </w:t>
      </w:r>
      <w:r>
        <w:rPr>
          <w:rFonts w:asciiTheme="majorHAnsi" w:hAnsiTheme="majorHAnsi" w:cs="Times New Roman"/>
          <w:sz w:val="24"/>
          <w:szCs w:val="24"/>
        </w:rPr>
        <w:t>Ordinance</w:t>
      </w:r>
      <w:r w:rsidR="00687941" w:rsidRPr="00026DEC">
        <w:rPr>
          <w:rFonts w:asciiTheme="majorHAnsi" w:hAnsiTheme="majorHAnsi" w:cs="Times New Roman"/>
          <w:sz w:val="24"/>
          <w:szCs w:val="24"/>
        </w:rPr>
        <w:t>/SUO requirements.</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E25A16" w:rsidP="005A4775">
      <w:pPr>
        <w:pStyle w:val="ListParagraph"/>
        <w:numPr>
          <w:ilvl w:val="0"/>
          <w:numId w:val="1"/>
        </w:numPr>
        <w:autoSpaceDE w:val="0"/>
        <w:autoSpaceDN w:val="0"/>
        <w:adjustRightInd w:val="0"/>
        <w:spacing w:after="0" w:line="240" w:lineRule="auto"/>
        <w:rPr>
          <w:rFonts w:asciiTheme="majorHAnsi" w:hAnsiTheme="majorHAnsi" w:cs="Times New Roman"/>
          <w:b/>
          <w:bCs/>
          <w:sz w:val="24"/>
          <w:szCs w:val="24"/>
        </w:rPr>
      </w:pPr>
      <w:r w:rsidRPr="005A4775">
        <w:rPr>
          <w:rFonts w:asciiTheme="majorHAnsi" w:hAnsiTheme="majorHAnsi" w:cs="Times New Roman"/>
          <w:b/>
          <w:bCs/>
          <w:sz w:val="24"/>
          <w:szCs w:val="24"/>
        </w:rPr>
        <w:t xml:space="preserve"> </w:t>
      </w:r>
      <w:r w:rsidR="00687941" w:rsidRPr="00026DEC">
        <w:rPr>
          <w:rFonts w:asciiTheme="majorHAnsi" w:hAnsiTheme="majorHAnsi" w:cs="Times New Roman"/>
          <w:b/>
          <w:bCs/>
          <w:sz w:val="24"/>
          <w:szCs w:val="24"/>
        </w:rPr>
        <w:t>F</w:t>
      </w:r>
      <w:r w:rsidR="005A4775">
        <w:rPr>
          <w:rFonts w:asciiTheme="majorHAnsi" w:hAnsiTheme="majorHAnsi" w:cs="Times New Roman"/>
          <w:b/>
          <w:bCs/>
          <w:sz w:val="24"/>
          <w:szCs w:val="24"/>
        </w:rPr>
        <w:t>ormal</w:t>
      </w:r>
      <w:r w:rsidR="00687941" w:rsidRPr="00026DEC">
        <w:rPr>
          <w:rFonts w:asciiTheme="majorHAnsi" w:hAnsiTheme="majorHAnsi" w:cs="Times New Roman"/>
          <w:b/>
          <w:bCs/>
          <w:sz w:val="24"/>
          <w:szCs w:val="24"/>
        </w:rPr>
        <w:t xml:space="preserve"> </w:t>
      </w:r>
      <w:r w:rsidR="005A4775" w:rsidRPr="00026DEC">
        <w:rPr>
          <w:rFonts w:asciiTheme="majorHAnsi" w:hAnsiTheme="majorHAnsi" w:cs="Times New Roman"/>
          <w:b/>
          <w:bCs/>
          <w:sz w:val="24"/>
          <w:szCs w:val="24"/>
        </w:rPr>
        <w:t>E</w:t>
      </w:r>
      <w:r w:rsidR="005A4775">
        <w:rPr>
          <w:rFonts w:asciiTheme="majorHAnsi" w:hAnsiTheme="majorHAnsi" w:cs="Times New Roman"/>
          <w:b/>
          <w:bCs/>
          <w:sz w:val="24"/>
          <w:szCs w:val="24"/>
        </w:rPr>
        <w:t>nforcement</w:t>
      </w:r>
      <w:r w:rsidR="005A4775" w:rsidRPr="00026DEC">
        <w:rPr>
          <w:rFonts w:asciiTheme="majorHAnsi" w:hAnsiTheme="majorHAnsi" w:cs="Times New Roman"/>
          <w:b/>
          <w:bCs/>
          <w:sz w:val="24"/>
          <w:szCs w:val="24"/>
        </w:rPr>
        <w:t xml:space="preserve"> N</w:t>
      </w:r>
      <w:r w:rsidR="005A4775">
        <w:rPr>
          <w:rFonts w:asciiTheme="majorHAnsi" w:hAnsiTheme="majorHAnsi" w:cs="Times New Roman"/>
          <w:b/>
          <w:bCs/>
          <w:sz w:val="24"/>
          <w:szCs w:val="24"/>
        </w:rPr>
        <w:t xml:space="preserve">otification </w:t>
      </w:r>
      <w:r w:rsidR="005A4775" w:rsidRPr="00026DEC">
        <w:rPr>
          <w:rFonts w:asciiTheme="majorHAnsi" w:hAnsiTheme="majorHAnsi" w:cs="Times New Roman"/>
          <w:b/>
          <w:bCs/>
          <w:sz w:val="24"/>
          <w:szCs w:val="24"/>
        </w:rPr>
        <w:t>/</w:t>
      </w:r>
      <w:r w:rsidR="005A4775">
        <w:rPr>
          <w:rFonts w:asciiTheme="majorHAnsi" w:hAnsiTheme="majorHAnsi" w:cs="Times New Roman"/>
          <w:b/>
          <w:bCs/>
          <w:sz w:val="24"/>
          <w:szCs w:val="24"/>
        </w:rPr>
        <w:t xml:space="preserve"> </w:t>
      </w:r>
      <w:r w:rsidR="005A4775" w:rsidRPr="00026DEC">
        <w:rPr>
          <w:rFonts w:asciiTheme="majorHAnsi" w:hAnsiTheme="majorHAnsi" w:cs="Times New Roman"/>
          <w:b/>
          <w:bCs/>
          <w:sz w:val="24"/>
          <w:szCs w:val="24"/>
        </w:rPr>
        <w:t>A</w:t>
      </w:r>
      <w:r w:rsidR="005A4775">
        <w:rPr>
          <w:rFonts w:asciiTheme="majorHAnsi" w:hAnsiTheme="majorHAnsi" w:cs="Times New Roman"/>
          <w:b/>
          <w:bCs/>
          <w:sz w:val="24"/>
          <w:szCs w:val="24"/>
        </w:rPr>
        <w:t>ctions</w:t>
      </w:r>
    </w:p>
    <w:p w:rsidR="008D0728" w:rsidRPr="00026DEC" w:rsidRDefault="008D0728" w:rsidP="00687941">
      <w:pPr>
        <w:autoSpaceDE w:val="0"/>
        <w:autoSpaceDN w:val="0"/>
        <w:adjustRightInd w:val="0"/>
        <w:spacing w:after="0" w:line="240" w:lineRule="auto"/>
        <w:rPr>
          <w:rFonts w:asciiTheme="majorHAnsi" w:hAnsiTheme="majorHAnsi" w:cs="Times New Roman"/>
          <w:b/>
          <w:bCs/>
          <w:sz w:val="24"/>
          <w:szCs w:val="24"/>
        </w:rPr>
      </w:pPr>
    </w:p>
    <w:p w:rsidR="00687941" w:rsidRPr="00026DEC" w:rsidRDefault="00687941" w:rsidP="005A4775">
      <w:pPr>
        <w:pStyle w:val="ListParagraph"/>
        <w:numPr>
          <w:ilvl w:val="0"/>
          <w:numId w:val="4"/>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Notice of Violation [NOV]</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 xml:space="preserve">A NOV is a written notice to the noncompliant </w:t>
      </w:r>
      <w:r w:rsidR="008E25B8">
        <w:rPr>
          <w:rFonts w:asciiTheme="majorHAnsi" w:hAnsiTheme="majorHAnsi" w:cs="Times New Roman"/>
          <w:sz w:val="24"/>
          <w:szCs w:val="24"/>
        </w:rPr>
        <w:t xml:space="preserve">property owner or FSE </w:t>
      </w:r>
      <w:r w:rsidR="00E83F18">
        <w:rPr>
          <w:rFonts w:asciiTheme="majorHAnsi" w:hAnsiTheme="majorHAnsi" w:cs="Times New Roman"/>
          <w:sz w:val="24"/>
          <w:szCs w:val="24"/>
        </w:rPr>
        <w:t xml:space="preserve">owner </w:t>
      </w:r>
      <w:r w:rsidR="00E83F18" w:rsidRPr="00026DEC">
        <w:rPr>
          <w:rFonts w:asciiTheme="majorHAnsi" w:hAnsiTheme="majorHAnsi" w:cs="Times New Roman"/>
          <w:sz w:val="24"/>
          <w:szCs w:val="24"/>
        </w:rPr>
        <w:t>that</w:t>
      </w:r>
      <w:r w:rsidRPr="00026DEC">
        <w:rPr>
          <w:rFonts w:asciiTheme="majorHAnsi" w:hAnsiTheme="majorHAnsi" w:cs="Times New Roman"/>
          <w:sz w:val="24"/>
          <w:szCs w:val="24"/>
        </w:rPr>
        <w:t xml:space="preserve"> a violation has occurred. A NOV includes a</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statement detailing the legal authority under which the City issued the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NOV, a description of the violation(s) and the date(s) the violation(s)</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occurred. A NOV may require a response from the</w:t>
      </w:r>
      <w:r w:rsidR="008E25B8">
        <w:rPr>
          <w:rFonts w:asciiTheme="majorHAnsi" w:hAnsiTheme="majorHAnsi" w:cs="Times New Roman"/>
          <w:sz w:val="24"/>
          <w:szCs w:val="24"/>
        </w:rPr>
        <w:t xml:space="preserve"> property owner or FSE </w:t>
      </w:r>
      <w:r w:rsidR="00E83F18">
        <w:rPr>
          <w:rFonts w:asciiTheme="majorHAnsi" w:hAnsiTheme="majorHAnsi" w:cs="Times New Roman"/>
          <w:sz w:val="24"/>
          <w:szCs w:val="24"/>
        </w:rPr>
        <w:t xml:space="preserve">owner </w:t>
      </w:r>
      <w:r w:rsidR="00E83F18" w:rsidRPr="00026DEC">
        <w:rPr>
          <w:rFonts w:asciiTheme="majorHAnsi" w:hAnsiTheme="majorHAnsi" w:cs="Times New Roman"/>
          <w:sz w:val="24"/>
          <w:szCs w:val="24"/>
        </w:rPr>
        <w:t>that</w:t>
      </w:r>
      <w:r w:rsidRPr="00026DEC">
        <w:rPr>
          <w:rFonts w:asciiTheme="majorHAnsi" w:hAnsiTheme="majorHAnsi" w:cs="Times New Roman"/>
          <w:sz w:val="24"/>
          <w:szCs w:val="24"/>
        </w:rPr>
        <w:t xml:space="preserve"> details the causes of the violation(s), and the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correction action taken to correct the violation and prevent similar</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violations from occurring. In general a NOV is considered to be a</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more serious enforcement action than a </w:t>
      </w:r>
      <w:r w:rsidR="008D0728" w:rsidRPr="00026DEC">
        <w:rPr>
          <w:rFonts w:asciiTheme="majorHAnsi" w:hAnsiTheme="majorHAnsi" w:cs="Times New Roman"/>
          <w:sz w:val="24"/>
          <w:szCs w:val="24"/>
        </w:rPr>
        <w:t>N</w:t>
      </w:r>
      <w:r w:rsidRPr="00026DEC">
        <w:rPr>
          <w:rFonts w:asciiTheme="majorHAnsi" w:hAnsiTheme="majorHAnsi" w:cs="Times New Roman"/>
          <w:sz w:val="24"/>
          <w:szCs w:val="24"/>
        </w:rPr>
        <w:t>OD/NTC.</w:t>
      </w:r>
    </w:p>
    <w:p w:rsidR="008D0728" w:rsidRPr="00026DEC" w:rsidRDefault="008D0728" w:rsidP="005A4775">
      <w:pPr>
        <w:autoSpaceDE w:val="0"/>
        <w:autoSpaceDN w:val="0"/>
        <w:adjustRightInd w:val="0"/>
        <w:spacing w:after="0" w:line="240" w:lineRule="auto"/>
        <w:ind w:left="720"/>
        <w:rPr>
          <w:rFonts w:asciiTheme="majorHAnsi" w:hAnsiTheme="majorHAnsi" w:cs="Times New Roman"/>
          <w:sz w:val="24"/>
          <w:szCs w:val="24"/>
        </w:rPr>
      </w:pPr>
    </w:p>
    <w:p w:rsidR="005A4775" w:rsidRDefault="00687941" w:rsidP="005A4775">
      <w:pPr>
        <w:pStyle w:val="ListParagraph"/>
        <w:numPr>
          <w:ilvl w:val="0"/>
          <w:numId w:val="4"/>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Civil Penalties</w:t>
      </w:r>
    </w:p>
    <w:p w:rsidR="008E25B8"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Administrative penalty issued to a</w:t>
      </w:r>
      <w:r w:rsidR="008E25B8">
        <w:rPr>
          <w:rFonts w:asciiTheme="majorHAnsi" w:hAnsiTheme="majorHAnsi" w:cs="Times New Roman"/>
          <w:sz w:val="24"/>
          <w:szCs w:val="24"/>
        </w:rPr>
        <w:t xml:space="preserve"> property owner o</w:t>
      </w:r>
      <w:r w:rsidR="00E83F18">
        <w:rPr>
          <w:rFonts w:asciiTheme="majorHAnsi" w:hAnsiTheme="majorHAnsi" w:cs="Times New Roman"/>
          <w:sz w:val="24"/>
          <w:szCs w:val="24"/>
        </w:rPr>
        <w:t xml:space="preserve">r </w:t>
      </w:r>
      <w:r w:rsidR="008E25B8">
        <w:rPr>
          <w:rFonts w:asciiTheme="majorHAnsi" w:hAnsiTheme="majorHAnsi" w:cs="Times New Roman"/>
          <w:sz w:val="24"/>
          <w:szCs w:val="24"/>
        </w:rPr>
        <w:t xml:space="preserve">FSE </w:t>
      </w:r>
      <w:r w:rsidR="00E83F18">
        <w:rPr>
          <w:rFonts w:asciiTheme="majorHAnsi" w:hAnsiTheme="majorHAnsi" w:cs="Times New Roman"/>
          <w:sz w:val="24"/>
          <w:szCs w:val="24"/>
        </w:rPr>
        <w:t xml:space="preserve">owner </w:t>
      </w:r>
      <w:r w:rsidR="00E83F18" w:rsidRPr="00026DEC">
        <w:rPr>
          <w:rFonts w:asciiTheme="majorHAnsi" w:hAnsiTheme="majorHAnsi" w:cs="Times New Roman"/>
          <w:sz w:val="24"/>
          <w:szCs w:val="24"/>
        </w:rPr>
        <w:t>who</w:t>
      </w:r>
      <w:r w:rsidRPr="00026DEC">
        <w:rPr>
          <w:rFonts w:asciiTheme="majorHAnsi" w:hAnsiTheme="majorHAnsi" w:cs="Times New Roman"/>
          <w:sz w:val="24"/>
          <w:szCs w:val="24"/>
        </w:rPr>
        <w:t xml:space="preserve"> fails</w:t>
      </w:r>
      <w:r w:rsidR="008E25B8">
        <w:rPr>
          <w:rFonts w:asciiTheme="majorHAnsi" w:hAnsiTheme="majorHAnsi" w:cs="Times New Roman"/>
          <w:sz w:val="24"/>
          <w:szCs w:val="24"/>
        </w:rPr>
        <w:t xml:space="preserve"> </w:t>
      </w:r>
      <w:r w:rsidRPr="00026DEC">
        <w:rPr>
          <w:rFonts w:asciiTheme="majorHAnsi" w:hAnsiTheme="majorHAnsi" w:cs="Times New Roman"/>
          <w:sz w:val="24"/>
          <w:szCs w:val="24"/>
        </w:rPr>
        <w:t xml:space="preserve">to </w:t>
      </w:r>
      <w:r w:rsidR="008E25B8">
        <w:rPr>
          <w:rFonts w:asciiTheme="majorHAnsi" w:hAnsiTheme="majorHAnsi" w:cs="Times New Roman"/>
          <w:sz w:val="24"/>
          <w:szCs w:val="24"/>
        </w:rPr>
        <w:t>c</w:t>
      </w:r>
      <w:r w:rsidRPr="00026DEC">
        <w:rPr>
          <w:rFonts w:asciiTheme="majorHAnsi" w:hAnsiTheme="majorHAnsi" w:cs="Times New Roman"/>
          <w:sz w:val="24"/>
          <w:szCs w:val="24"/>
        </w:rPr>
        <w:t xml:space="preserve">omply with any provision of the FOG </w:t>
      </w:r>
      <w:r w:rsidR="0022054C" w:rsidRPr="00026DEC">
        <w:rPr>
          <w:rFonts w:asciiTheme="majorHAnsi" w:hAnsiTheme="majorHAnsi" w:cs="Times New Roman"/>
          <w:sz w:val="24"/>
          <w:szCs w:val="24"/>
        </w:rPr>
        <w:t xml:space="preserve">Ordinance </w:t>
      </w:r>
      <w:r w:rsidRPr="00026DEC">
        <w:rPr>
          <w:rFonts w:asciiTheme="majorHAnsi" w:hAnsiTheme="majorHAnsi" w:cs="Times New Roman"/>
          <w:sz w:val="24"/>
          <w:szCs w:val="24"/>
        </w:rPr>
        <w:t>and/or any applicable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provision</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 xml:space="preserve"> of the SUO.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Sewer Use and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Pretreatment Ordinance authorizes penalties of up to ten thousand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dollars ($10,000.00) per day per violation.</w:t>
      </w:r>
    </w:p>
    <w:p w:rsidR="000443E9" w:rsidRPr="00026DEC" w:rsidRDefault="000443E9"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4"/>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Consent Orders</w:t>
      </w:r>
      <w:r w:rsidR="000443E9"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[CO]</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A voluntary agreement with a non-compliant</w:t>
      </w:r>
      <w:r w:rsidR="005C77F8">
        <w:rPr>
          <w:rFonts w:asciiTheme="majorHAnsi" w:hAnsiTheme="majorHAnsi" w:cs="Times New Roman"/>
          <w:sz w:val="24"/>
          <w:szCs w:val="24"/>
        </w:rPr>
        <w:t xml:space="preserve"> property owner or FSE owner that</w:t>
      </w:r>
      <w:r w:rsidRPr="00026DEC">
        <w:rPr>
          <w:rFonts w:asciiTheme="majorHAnsi" w:hAnsiTheme="majorHAnsi" w:cs="Times New Roman"/>
          <w:sz w:val="24"/>
          <w:szCs w:val="24"/>
        </w:rPr>
        <w:t xml:space="preserve"> includes specific acts to be taken by the discharger</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to correct the noncompliance within a time period also specified in</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the order. COs may incorporate schedules of compliance (SOC),</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administrative penalties and/or termination of </w:t>
      </w:r>
      <w:r w:rsidR="005C77F8">
        <w:rPr>
          <w:rFonts w:asciiTheme="majorHAnsi" w:hAnsiTheme="majorHAnsi" w:cs="Times New Roman"/>
          <w:sz w:val="24"/>
          <w:szCs w:val="24"/>
        </w:rPr>
        <w:t xml:space="preserve">sanitary sewer </w:t>
      </w:r>
      <w:r w:rsidRPr="00026DEC">
        <w:rPr>
          <w:rFonts w:asciiTheme="majorHAnsi" w:hAnsiTheme="majorHAnsi" w:cs="Times New Roman"/>
          <w:sz w:val="24"/>
          <w:szCs w:val="24"/>
        </w:rPr>
        <w:t>service. Such</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documents shall have the same force and effect as administrative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orders and shall be judicially enforceable.</w:t>
      </w:r>
    </w:p>
    <w:p w:rsidR="000443E9" w:rsidRPr="00026DEC" w:rsidRDefault="000443E9"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2"/>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Administrative</w:t>
      </w:r>
      <w:r w:rsidR="000443E9"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Order [AO]</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Administrative Orders [AOs] are enforcement documents that direct</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food service establishments to undertake and/or to cease specified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activities by specified deadlines. The terms of an AO may or may not</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be negotiated with food service establishments. AOs may incorporate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compliance schedules, administrative penalties and/or termination of</w:t>
      </w:r>
      <w:r w:rsidR="008D0728" w:rsidRPr="00026DEC">
        <w:rPr>
          <w:rFonts w:asciiTheme="majorHAnsi" w:hAnsiTheme="majorHAnsi" w:cs="Times New Roman"/>
          <w:sz w:val="24"/>
          <w:szCs w:val="24"/>
        </w:rPr>
        <w:t xml:space="preserve"> </w:t>
      </w:r>
      <w:r w:rsidR="005C77F8">
        <w:rPr>
          <w:rFonts w:asciiTheme="majorHAnsi" w:hAnsiTheme="majorHAnsi" w:cs="Times New Roman"/>
          <w:sz w:val="24"/>
          <w:szCs w:val="24"/>
        </w:rPr>
        <w:t xml:space="preserve">sanitary sewer </w:t>
      </w:r>
      <w:r w:rsidRPr="00026DEC">
        <w:rPr>
          <w:rFonts w:asciiTheme="majorHAnsi" w:hAnsiTheme="majorHAnsi" w:cs="Times New Roman"/>
          <w:sz w:val="24"/>
          <w:szCs w:val="24"/>
        </w:rPr>
        <w:t>service.</w:t>
      </w:r>
    </w:p>
    <w:p w:rsidR="008D0728" w:rsidRPr="00026DEC" w:rsidRDefault="008D0728"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4"/>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Payment of</w:t>
      </w:r>
      <w:r w:rsidR="00E25A16"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Remediation/Clean-</w:t>
      </w:r>
      <w:r w:rsidR="00E25A16"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Up Costs and/or</w:t>
      </w:r>
      <w:r w:rsidR="00E25A16"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Cost Recovery</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 xml:space="preserve">Notice to pay to 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costs associated with the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clean-up or decontamination of a site after the discharge of</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substances into the sanitary sewer, , surface waters and/or</w:t>
      </w:r>
      <w:r w:rsidR="002F3653">
        <w:rPr>
          <w:rFonts w:asciiTheme="majorHAnsi" w:hAnsiTheme="majorHAnsi" w:cs="Times New Roman"/>
          <w:sz w:val="24"/>
          <w:szCs w:val="24"/>
        </w:rPr>
        <w:t xml:space="preserve"> </w:t>
      </w:r>
      <w:r w:rsidRPr="00026DEC">
        <w:rPr>
          <w:rFonts w:asciiTheme="majorHAnsi" w:hAnsiTheme="majorHAnsi" w:cs="Times New Roman"/>
          <w:sz w:val="24"/>
          <w:szCs w:val="24"/>
        </w:rPr>
        <w:t>to the environment that cause interference, pass-through or sanitary</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sewer blockage. </w:t>
      </w:r>
      <w:r w:rsidR="00A20F27" w:rsidRPr="00026DEC">
        <w:rPr>
          <w:rFonts w:asciiTheme="majorHAnsi" w:hAnsiTheme="majorHAnsi" w:cs="Times New Roman"/>
          <w:sz w:val="24"/>
          <w:szCs w:val="24"/>
        </w:rPr>
        <w:t>This Includes</w:t>
      </w:r>
      <w:r w:rsidRPr="00026DEC">
        <w:rPr>
          <w:rFonts w:asciiTheme="majorHAnsi" w:hAnsiTheme="majorHAnsi" w:cs="Times New Roman"/>
          <w:sz w:val="24"/>
          <w:szCs w:val="24"/>
        </w:rPr>
        <w:t xml:space="preserve"> clean up and decontamination of all</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structures/areas including residential, commercial, surface waters and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the environment.</w:t>
      </w:r>
    </w:p>
    <w:p w:rsidR="00E25A16" w:rsidRPr="00026DEC" w:rsidRDefault="00E25A16"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5A4775">
      <w:pPr>
        <w:pStyle w:val="ListParagraph"/>
        <w:numPr>
          <w:ilvl w:val="0"/>
          <w:numId w:val="4"/>
        </w:num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Termination of</w:t>
      </w:r>
      <w:r w:rsidR="00E25A16"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(Sewer) Service</w:t>
      </w:r>
      <w:r w:rsidR="00E25A16" w:rsidRPr="00026DEC">
        <w:rPr>
          <w:rFonts w:asciiTheme="majorHAnsi" w:hAnsiTheme="majorHAnsi" w:cs="Times New Roman"/>
          <w:b/>
          <w:bCs/>
          <w:sz w:val="24"/>
          <w:szCs w:val="24"/>
        </w:rPr>
        <w:t xml:space="preserve"> </w:t>
      </w:r>
      <w:r w:rsidRPr="00026DEC">
        <w:rPr>
          <w:rFonts w:asciiTheme="majorHAnsi" w:hAnsiTheme="majorHAnsi" w:cs="Times New Roman"/>
          <w:b/>
          <w:bCs/>
          <w:sz w:val="24"/>
          <w:szCs w:val="24"/>
        </w:rPr>
        <w:t>[TOS]</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Termination of Service [TOS] is the revocation of a food service</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establishment’s privilege to discharge wastewater from food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preparation processes into the sanitary sewer system. TOS is used</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when the discharge from a FSE presents imminent endangerment to</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the health or welfare of persons, or the environment or threatens to</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interfere with the operation of the POTW collection system. TOS is</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also used as an escalating enforcement action when a noncompliant</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food service establishment fails to respond adequately to previous</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enforcement actions. TOS may be accomplished by physical</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severance of the FSE’s connection to the </w:t>
      </w:r>
      <w:r w:rsidR="00C83E6C">
        <w:rPr>
          <w:rFonts w:asciiTheme="majorHAnsi" w:hAnsiTheme="majorHAnsi" w:cs="Times New Roman"/>
          <w:sz w:val="24"/>
          <w:szCs w:val="24"/>
        </w:rPr>
        <w:t xml:space="preserve">sanitary sewer </w:t>
      </w:r>
      <w:r w:rsidRPr="00026DEC">
        <w:rPr>
          <w:rFonts w:asciiTheme="majorHAnsi" w:hAnsiTheme="majorHAnsi" w:cs="Times New Roman"/>
          <w:sz w:val="24"/>
          <w:szCs w:val="24"/>
        </w:rPr>
        <w:t>system, issuance</w:t>
      </w:r>
    </w:p>
    <w:p w:rsidR="00687941" w:rsidRPr="00026DEC"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026DEC">
        <w:rPr>
          <w:rFonts w:asciiTheme="majorHAnsi" w:hAnsiTheme="majorHAnsi" w:cs="Times New Roman"/>
          <w:sz w:val="24"/>
          <w:szCs w:val="24"/>
        </w:rPr>
        <w:t>of an AO [Cease and Desist], which compels the FSE to immediately</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terminate its discharge, or a court ruling.</w:t>
      </w:r>
    </w:p>
    <w:p w:rsidR="00687941" w:rsidRPr="005A4775" w:rsidRDefault="00E25A16" w:rsidP="005A4775">
      <w:pPr>
        <w:autoSpaceDE w:val="0"/>
        <w:autoSpaceDN w:val="0"/>
        <w:adjustRightInd w:val="0"/>
        <w:spacing w:after="0" w:line="240" w:lineRule="auto"/>
        <w:ind w:left="720"/>
        <w:rPr>
          <w:rFonts w:asciiTheme="majorHAnsi" w:hAnsiTheme="majorHAnsi" w:cs="Times New Roman"/>
          <w:sz w:val="24"/>
          <w:szCs w:val="24"/>
        </w:rPr>
      </w:pPr>
      <w:r w:rsidRPr="005A4775">
        <w:rPr>
          <w:rFonts w:asciiTheme="majorHAnsi" w:hAnsiTheme="majorHAnsi" w:cs="Times New Roman"/>
          <w:sz w:val="24"/>
          <w:szCs w:val="24"/>
        </w:rPr>
        <w:t xml:space="preserve"> </w:t>
      </w:r>
    </w:p>
    <w:p w:rsidR="00687941" w:rsidRPr="005A4775" w:rsidRDefault="00687941" w:rsidP="005A4775">
      <w:pPr>
        <w:autoSpaceDE w:val="0"/>
        <w:autoSpaceDN w:val="0"/>
        <w:adjustRightInd w:val="0"/>
        <w:spacing w:after="0" w:line="240" w:lineRule="auto"/>
        <w:ind w:left="720"/>
        <w:rPr>
          <w:rFonts w:asciiTheme="majorHAnsi" w:hAnsiTheme="majorHAnsi" w:cs="Times New Roman"/>
          <w:sz w:val="24"/>
          <w:szCs w:val="24"/>
        </w:rPr>
      </w:pPr>
      <w:r w:rsidRPr="005A4775">
        <w:rPr>
          <w:rFonts w:asciiTheme="majorHAnsi" w:hAnsiTheme="majorHAnsi" w:cs="Times New Roman"/>
          <w:sz w:val="24"/>
          <w:szCs w:val="24"/>
        </w:rPr>
        <w:t xml:space="preserve">The </w:t>
      </w:r>
      <w:r w:rsidR="000443E9" w:rsidRPr="005A4775">
        <w:rPr>
          <w:rFonts w:asciiTheme="majorHAnsi" w:hAnsiTheme="majorHAnsi" w:cs="Times New Roman"/>
          <w:sz w:val="24"/>
          <w:szCs w:val="24"/>
        </w:rPr>
        <w:t>Public Works Director</w:t>
      </w:r>
      <w:r w:rsidRPr="005A4775">
        <w:rPr>
          <w:rFonts w:asciiTheme="majorHAnsi" w:hAnsiTheme="majorHAnsi" w:cs="Times New Roman"/>
          <w:sz w:val="24"/>
          <w:szCs w:val="24"/>
        </w:rPr>
        <w:t xml:space="preserve"> reserves the right to assess the maximum penalty for any violation.</w:t>
      </w:r>
    </w:p>
    <w:p w:rsidR="00377864" w:rsidRPr="005A4775" w:rsidRDefault="00377864" w:rsidP="005A4775">
      <w:pPr>
        <w:autoSpaceDE w:val="0"/>
        <w:autoSpaceDN w:val="0"/>
        <w:adjustRightInd w:val="0"/>
        <w:spacing w:after="0" w:line="240" w:lineRule="auto"/>
        <w:ind w:left="720"/>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Section 3 - Personnel Responsible for Enforcement Actions</w:t>
      </w: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 xml:space="preserve">The City of </w:t>
      </w:r>
      <w:r w:rsidR="00E25A16" w:rsidRPr="00026DEC">
        <w:rPr>
          <w:rFonts w:asciiTheme="majorHAnsi" w:hAnsiTheme="majorHAnsi" w:cs="Times New Roman"/>
          <w:sz w:val="24"/>
          <w:szCs w:val="24"/>
        </w:rPr>
        <w:t>Reidsville</w:t>
      </w:r>
      <w:r w:rsidRPr="00026DEC">
        <w:rPr>
          <w:rFonts w:asciiTheme="majorHAnsi" w:hAnsiTheme="majorHAnsi" w:cs="Times New Roman"/>
          <w:sz w:val="24"/>
          <w:szCs w:val="24"/>
        </w:rPr>
        <w:t xml:space="preserve"> FOG Coordinator is responsible for all enforcement actions.</w:t>
      </w:r>
      <w:r w:rsidR="008D0728" w:rsidRPr="00026DEC">
        <w:rPr>
          <w:rFonts w:asciiTheme="majorHAnsi" w:hAnsiTheme="majorHAnsi" w:cs="Times New Roman"/>
          <w:sz w:val="24"/>
          <w:szCs w:val="24"/>
        </w:rPr>
        <w:t xml:space="preserve"> </w:t>
      </w:r>
      <w:r w:rsidRPr="00026DEC">
        <w:rPr>
          <w:rFonts w:asciiTheme="majorHAnsi" w:hAnsiTheme="majorHAnsi" w:cs="Times New Roman"/>
          <w:sz w:val="24"/>
          <w:szCs w:val="24"/>
        </w:rPr>
        <w:t xml:space="preserve">The </w:t>
      </w:r>
      <w:r w:rsidR="000443E9" w:rsidRPr="00026DEC">
        <w:rPr>
          <w:rFonts w:asciiTheme="majorHAnsi" w:hAnsiTheme="majorHAnsi" w:cs="Times New Roman"/>
          <w:sz w:val="24"/>
          <w:szCs w:val="24"/>
        </w:rPr>
        <w:t>Public Works Director</w:t>
      </w:r>
      <w:r w:rsidRPr="00026DEC">
        <w:rPr>
          <w:rFonts w:asciiTheme="majorHAnsi" w:hAnsiTheme="majorHAnsi" w:cs="Times New Roman"/>
          <w:sz w:val="24"/>
          <w:szCs w:val="24"/>
        </w:rPr>
        <w:t xml:space="preserve"> may be requested to review escalated penalties prior to issuance</w:t>
      </w:r>
      <w:r w:rsidR="008D0728" w:rsidRPr="00026DEC">
        <w:rPr>
          <w:rFonts w:asciiTheme="majorHAnsi" w:hAnsiTheme="majorHAnsi" w:cs="Times New Roman"/>
          <w:sz w:val="24"/>
          <w:szCs w:val="24"/>
        </w:rPr>
        <w:t>.</w:t>
      </w:r>
    </w:p>
    <w:p w:rsidR="00377864" w:rsidRPr="00026DEC" w:rsidRDefault="00377864"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Section 4 - Enforcement Considerations</w:t>
      </w: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In determining which enforcement measure(s) to use and the amount of any civil penalties, the FOG Coordinator may consider the following:</w:t>
      </w:r>
    </w:p>
    <w:p w:rsidR="00026DEC" w:rsidRPr="00EF0C80" w:rsidRDefault="00687941" w:rsidP="009B372F">
      <w:pPr>
        <w:pStyle w:val="ListParagraph"/>
        <w:numPr>
          <w:ilvl w:val="0"/>
          <w:numId w:val="5"/>
        </w:numPr>
        <w:autoSpaceDE w:val="0"/>
        <w:autoSpaceDN w:val="0"/>
        <w:adjustRightInd w:val="0"/>
        <w:spacing w:before="100" w:beforeAutospacing="1" w:after="100" w:afterAutospacing="1" w:line="240" w:lineRule="exact"/>
        <w:ind w:left="806"/>
        <w:contextualSpacing w:val="0"/>
        <w:rPr>
          <w:rFonts w:asciiTheme="majorHAnsi" w:hAnsiTheme="majorHAnsi" w:cs="Times New Roman"/>
          <w:sz w:val="24"/>
          <w:szCs w:val="24"/>
        </w:rPr>
      </w:pPr>
      <w:r w:rsidRPr="00EF0C80">
        <w:rPr>
          <w:rFonts w:asciiTheme="majorHAnsi" w:hAnsiTheme="majorHAnsi" w:cs="Times New Roman"/>
          <w:sz w:val="24"/>
          <w:szCs w:val="24"/>
        </w:rPr>
        <w:t xml:space="preserve">The degree and extent of the impact/harm to the natural resources of the State, the </w:t>
      </w:r>
      <w:r w:rsidR="009B372F" w:rsidRPr="00EF0C80">
        <w:rPr>
          <w:rFonts w:asciiTheme="majorHAnsi" w:hAnsiTheme="majorHAnsi" w:cs="Times New Roman"/>
          <w:sz w:val="24"/>
          <w:szCs w:val="24"/>
        </w:rPr>
        <w:t>p</w:t>
      </w:r>
      <w:r w:rsidRPr="00EF0C80">
        <w:rPr>
          <w:rFonts w:asciiTheme="majorHAnsi" w:hAnsiTheme="majorHAnsi" w:cs="Times New Roman"/>
          <w:sz w:val="24"/>
          <w:szCs w:val="24"/>
        </w:rPr>
        <w:t>ublic</w:t>
      </w:r>
      <w:r w:rsidR="00026DEC" w:rsidRPr="00EF0C80">
        <w:rPr>
          <w:rFonts w:asciiTheme="majorHAnsi" w:hAnsiTheme="majorHAnsi" w:cs="Times New Roman"/>
          <w:sz w:val="24"/>
          <w:szCs w:val="24"/>
        </w:rPr>
        <w:t xml:space="preserve"> </w:t>
      </w:r>
      <w:r w:rsidRPr="00EF0C80">
        <w:rPr>
          <w:rFonts w:asciiTheme="majorHAnsi" w:hAnsiTheme="majorHAnsi" w:cs="Times New Roman"/>
          <w:sz w:val="24"/>
          <w:szCs w:val="24"/>
        </w:rPr>
        <w:t>health, the POTW or public or private property as a result of the violation including effect on</w:t>
      </w:r>
      <w:r w:rsidR="00026DEC" w:rsidRPr="00EF0C80">
        <w:rPr>
          <w:rFonts w:asciiTheme="majorHAnsi" w:hAnsiTheme="majorHAnsi" w:cs="Times New Roman"/>
          <w:sz w:val="24"/>
          <w:szCs w:val="24"/>
        </w:rPr>
        <w:t xml:space="preserve"> </w:t>
      </w:r>
      <w:r w:rsidR="00604CC8" w:rsidRPr="00EF0C80">
        <w:rPr>
          <w:rFonts w:asciiTheme="majorHAnsi" w:hAnsiTheme="majorHAnsi" w:cs="Times New Roman"/>
          <w:sz w:val="24"/>
          <w:szCs w:val="24"/>
        </w:rPr>
        <w:t xml:space="preserve">sanitary sewer </w:t>
      </w:r>
      <w:r w:rsidRPr="00EF0C80">
        <w:rPr>
          <w:rFonts w:asciiTheme="majorHAnsi" w:hAnsiTheme="majorHAnsi" w:cs="Times New Roman"/>
          <w:sz w:val="24"/>
          <w:szCs w:val="24"/>
        </w:rPr>
        <w:t>,</w:t>
      </w:r>
      <w:r w:rsidR="00604CC8" w:rsidRPr="00EF0C80">
        <w:rPr>
          <w:rFonts w:asciiTheme="majorHAnsi" w:hAnsiTheme="majorHAnsi" w:cs="Times New Roman"/>
          <w:sz w:val="24"/>
          <w:szCs w:val="24"/>
        </w:rPr>
        <w:t xml:space="preserve"> storm water sewer or</w:t>
      </w:r>
      <w:r w:rsidRPr="00EF0C80">
        <w:rPr>
          <w:rFonts w:asciiTheme="majorHAnsi" w:hAnsiTheme="majorHAnsi" w:cs="Times New Roman"/>
          <w:sz w:val="24"/>
          <w:szCs w:val="24"/>
        </w:rPr>
        <w:t xml:space="preserve"> surface </w:t>
      </w:r>
      <w:r w:rsidR="009B372F" w:rsidRPr="00EF0C80">
        <w:rPr>
          <w:rFonts w:asciiTheme="majorHAnsi" w:hAnsiTheme="majorHAnsi" w:cs="Times New Roman"/>
          <w:sz w:val="24"/>
          <w:szCs w:val="24"/>
        </w:rPr>
        <w:t xml:space="preserve">water.      </w:t>
      </w:r>
      <w:r w:rsidR="00EF0C80">
        <w:rPr>
          <w:rFonts w:asciiTheme="majorHAnsi" w:hAnsiTheme="majorHAnsi" w:cs="Times New Roman"/>
          <w:sz w:val="24"/>
          <w:szCs w:val="24"/>
        </w:rPr>
        <w:t xml:space="preserve">         </w:t>
      </w:r>
      <w:r w:rsidR="009B372F" w:rsidRPr="00EF0C80">
        <w:rPr>
          <w:rFonts w:asciiTheme="majorHAnsi" w:hAnsiTheme="majorHAnsi" w:cs="Times New Roman"/>
          <w:sz w:val="24"/>
          <w:szCs w:val="24"/>
        </w:rPr>
        <w:t xml:space="preserve">                                                                                                                                                                                                                                                                                             </w:t>
      </w:r>
    </w:p>
    <w:p w:rsidR="00026DEC" w:rsidRPr="009B372F" w:rsidRDefault="009B372F" w:rsidP="009B372F">
      <w:pPr>
        <w:pStyle w:val="ListParagraph"/>
        <w:numPr>
          <w:ilvl w:val="0"/>
          <w:numId w:val="5"/>
        </w:numPr>
        <w:autoSpaceDE w:val="0"/>
        <w:autoSpaceDN w:val="0"/>
        <w:adjustRightInd w:val="0"/>
        <w:spacing w:before="120" w:after="0" w:line="360" w:lineRule="auto"/>
        <w:rPr>
          <w:rFonts w:asciiTheme="majorHAnsi" w:hAnsiTheme="majorHAnsi" w:cs="Times New Roman"/>
          <w:sz w:val="24"/>
          <w:szCs w:val="24"/>
        </w:rPr>
      </w:pPr>
      <w:r w:rsidRPr="009B372F">
        <w:rPr>
          <w:rFonts w:asciiTheme="majorHAnsi" w:hAnsiTheme="majorHAnsi" w:cs="Times New Roman"/>
          <w:sz w:val="24"/>
          <w:szCs w:val="24"/>
        </w:rPr>
        <w:t xml:space="preserve"> T</w:t>
      </w:r>
      <w:r w:rsidR="00604CC8" w:rsidRPr="009B372F">
        <w:rPr>
          <w:rFonts w:asciiTheme="majorHAnsi" w:hAnsiTheme="majorHAnsi" w:cs="Times New Roman"/>
          <w:sz w:val="24"/>
          <w:szCs w:val="24"/>
        </w:rPr>
        <w:t xml:space="preserve">he </w:t>
      </w:r>
      <w:r w:rsidR="00687941" w:rsidRPr="009B372F">
        <w:rPr>
          <w:rFonts w:asciiTheme="majorHAnsi" w:hAnsiTheme="majorHAnsi" w:cs="Times New Roman"/>
          <w:sz w:val="24"/>
          <w:szCs w:val="24"/>
        </w:rPr>
        <w:t>duration and magnitude of the violation;</w:t>
      </w: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The cost of repairing the damage to the POTW collection system, public or private property</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and/or the natural resources of the State;</w:t>
      </w:r>
    </w:p>
    <w:p w:rsidR="00026DEC" w:rsidRP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Whether the violation was committed negligently, grossly negligently, recklessly negligently,</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willfully or intentionally;</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The amount of money saved, if any, by noncompliance, including the cost of continuing to</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discharge in noncompliance instead of stopping operations;</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Cost incurred by the FSE in correcting the problem and FSE cooperation and good faith effort</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to resolve noncompliance.</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The prior record of the FSE in complying or failing to comply with the requirements of the Sewer Use and Pretreatment Ordinance, or other applicable law or</w:t>
      </w:r>
      <w:r w:rsidR="00517195" w:rsidRPr="005A4775">
        <w:rPr>
          <w:rFonts w:asciiTheme="majorHAnsi" w:hAnsiTheme="majorHAnsi" w:cs="Times New Roman"/>
          <w:sz w:val="24"/>
          <w:szCs w:val="24"/>
        </w:rPr>
        <w:t xml:space="preserve"> </w:t>
      </w:r>
      <w:r w:rsidRPr="005A4775">
        <w:rPr>
          <w:rFonts w:asciiTheme="majorHAnsi" w:hAnsiTheme="majorHAnsi" w:cs="Times New Roman"/>
          <w:sz w:val="24"/>
          <w:szCs w:val="24"/>
        </w:rPr>
        <w:t>regulation;</w:t>
      </w:r>
      <w:r w:rsidR="00E25A16" w:rsidRPr="005A4775">
        <w:rPr>
          <w:rFonts w:asciiTheme="majorHAnsi" w:hAnsiTheme="majorHAnsi" w:cs="Times New Roman"/>
          <w:sz w:val="24"/>
          <w:szCs w:val="24"/>
        </w:rPr>
        <w:t xml:space="preserve"> </w:t>
      </w:r>
    </w:p>
    <w:p w:rsidR="005A4775" w:rsidRPr="005A4775" w:rsidRDefault="005A4775" w:rsidP="005A4775">
      <w:pPr>
        <w:pStyle w:val="ListParagraph"/>
        <w:autoSpaceDE w:val="0"/>
        <w:autoSpaceDN w:val="0"/>
        <w:adjustRightInd w:val="0"/>
        <w:spacing w:after="0" w:line="240" w:lineRule="auto"/>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The cost to the City [including legal fees, sampling/analytical costs, engineering/consulting</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fees, etc.] required, in the opinion of the City, to take necessary investigative/enforcement</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action, determine the nature and extent of damage, prevent further damage and repair any</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damage.</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The cost to the City for any civil penalties, fines, legal costs and/or other costs associated with</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 xml:space="preserve">any enforcement action or legal action taken against the City of </w:t>
      </w:r>
      <w:r w:rsidR="00E25A16" w:rsidRPr="005A4775">
        <w:rPr>
          <w:rFonts w:asciiTheme="majorHAnsi" w:hAnsiTheme="majorHAnsi" w:cs="Times New Roman"/>
          <w:sz w:val="24"/>
          <w:szCs w:val="24"/>
        </w:rPr>
        <w:t>Reidsville</w:t>
      </w:r>
      <w:r w:rsidRPr="005A4775">
        <w:rPr>
          <w:rFonts w:asciiTheme="majorHAnsi" w:hAnsiTheme="majorHAnsi" w:cs="Times New Roman"/>
          <w:sz w:val="24"/>
          <w:szCs w:val="24"/>
        </w:rPr>
        <w:t xml:space="preserve"> for Wastewater</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Collection System Permit violations, NPDES violations or other violations caused by the FSE</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violation(s).</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2F3653"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Violation(s) resulting from vandalism or the action of third-party entities</w:t>
      </w:r>
      <w:r w:rsidR="00026DEC" w:rsidRPr="005A4775">
        <w:rPr>
          <w:rFonts w:asciiTheme="majorHAnsi" w:hAnsiTheme="majorHAnsi" w:cs="Times New Roman"/>
          <w:sz w:val="24"/>
          <w:szCs w:val="24"/>
        </w:rPr>
        <w:t xml:space="preserve"> </w:t>
      </w:r>
    </w:p>
    <w:p w:rsidR="002F3653" w:rsidRPr="002F3653" w:rsidRDefault="002F3653" w:rsidP="002F3653">
      <w:pPr>
        <w:pStyle w:val="ListParagraph"/>
        <w:rPr>
          <w:rFonts w:asciiTheme="majorHAnsi" w:hAnsiTheme="majorHAnsi" w:cs="Times New Roman"/>
          <w:sz w:val="24"/>
          <w:szCs w:val="24"/>
        </w:rPr>
      </w:pPr>
    </w:p>
    <w:p w:rsidR="00687941" w:rsidRPr="005A4775" w:rsidRDefault="00687941" w:rsidP="005A4775">
      <w:pPr>
        <w:pStyle w:val="ListParagraph"/>
        <w:numPr>
          <w:ilvl w:val="0"/>
          <w:numId w:val="5"/>
        </w:numPr>
        <w:autoSpaceDE w:val="0"/>
        <w:autoSpaceDN w:val="0"/>
        <w:adjustRightInd w:val="0"/>
        <w:spacing w:after="0" w:line="240" w:lineRule="auto"/>
        <w:rPr>
          <w:rFonts w:asciiTheme="majorHAnsi" w:hAnsiTheme="majorHAnsi" w:cs="Times New Roman"/>
          <w:sz w:val="24"/>
          <w:szCs w:val="24"/>
        </w:rPr>
      </w:pPr>
      <w:r w:rsidRPr="005A4775">
        <w:rPr>
          <w:rFonts w:asciiTheme="majorHAnsi" w:hAnsiTheme="majorHAnsi" w:cs="Times New Roman"/>
          <w:sz w:val="24"/>
          <w:szCs w:val="24"/>
        </w:rPr>
        <w:t xml:space="preserve"> Deficiencies or violations occurring as a result of circumstances beyond the FSE’s control as</w:t>
      </w:r>
      <w:r w:rsidR="00026DEC" w:rsidRPr="005A4775">
        <w:rPr>
          <w:rFonts w:asciiTheme="majorHAnsi" w:hAnsiTheme="majorHAnsi" w:cs="Times New Roman"/>
          <w:sz w:val="24"/>
          <w:szCs w:val="24"/>
        </w:rPr>
        <w:t xml:space="preserve"> </w:t>
      </w:r>
      <w:r w:rsidRPr="005A4775">
        <w:rPr>
          <w:rFonts w:asciiTheme="majorHAnsi" w:hAnsiTheme="majorHAnsi" w:cs="Times New Roman"/>
          <w:sz w:val="24"/>
          <w:szCs w:val="24"/>
        </w:rPr>
        <w:t>determined by the FOG Coordinator</w:t>
      </w:r>
    </w:p>
    <w:p w:rsidR="000443E9" w:rsidRPr="00026DEC" w:rsidRDefault="000443E9"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Section 5 - Investigation of Noncompliance</w:t>
      </w:r>
    </w:p>
    <w:p w:rsidR="005A4775" w:rsidRDefault="005A4775"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 xml:space="preserve">The FOG Coordinator will investigate compliance with the </w:t>
      </w:r>
      <w:r w:rsidR="00726C92">
        <w:rPr>
          <w:rFonts w:asciiTheme="majorHAnsi" w:hAnsiTheme="majorHAnsi" w:cs="Times New Roman"/>
          <w:sz w:val="24"/>
          <w:szCs w:val="24"/>
        </w:rPr>
        <w:t>FOG</w:t>
      </w:r>
      <w:r w:rsidRPr="00026DEC">
        <w:rPr>
          <w:rFonts w:asciiTheme="majorHAnsi" w:hAnsiTheme="majorHAnsi" w:cs="Times New Roman"/>
          <w:sz w:val="24"/>
          <w:szCs w:val="24"/>
        </w:rPr>
        <w:t xml:space="preserve"> Ordinance in the following ways:</w:t>
      </w:r>
    </w:p>
    <w:p w:rsidR="00026DEC" w:rsidRDefault="00026DEC"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687941" w:rsidP="005A4775">
      <w:pPr>
        <w:pStyle w:val="ListParagraph"/>
        <w:numPr>
          <w:ilvl w:val="0"/>
          <w:numId w:val="7"/>
        </w:num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On-site inspections of Food Service Establishments, including scheduled and unscheduled</w:t>
      </w:r>
      <w:r w:rsidR="00026DEC">
        <w:rPr>
          <w:rFonts w:asciiTheme="majorHAnsi" w:hAnsiTheme="majorHAnsi" w:cs="Times New Roman"/>
          <w:sz w:val="24"/>
          <w:szCs w:val="24"/>
        </w:rPr>
        <w:t xml:space="preserve"> </w:t>
      </w:r>
      <w:r w:rsidRPr="00026DEC">
        <w:rPr>
          <w:rFonts w:asciiTheme="majorHAnsi" w:hAnsiTheme="majorHAnsi" w:cs="Times New Roman"/>
          <w:sz w:val="24"/>
          <w:szCs w:val="24"/>
        </w:rPr>
        <w:t>visits;</w:t>
      </w:r>
    </w:p>
    <w:p w:rsidR="00026DEC" w:rsidRDefault="00026DEC" w:rsidP="005A4775">
      <w:pPr>
        <w:pStyle w:val="ListParagraph"/>
        <w:autoSpaceDE w:val="0"/>
        <w:autoSpaceDN w:val="0"/>
        <w:adjustRightInd w:val="0"/>
        <w:spacing w:after="0" w:line="240" w:lineRule="auto"/>
        <w:rPr>
          <w:rFonts w:asciiTheme="majorHAnsi" w:hAnsiTheme="majorHAnsi" w:cs="Times New Roman"/>
          <w:sz w:val="24"/>
          <w:szCs w:val="24"/>
        </w:rPr>
      </w:pPr>
    </w:p>
    <w:p w:rsidR="00687941" w:rsidRPr="00026DEC" w:rsidRDefault="00687941" w:rsidP="005A4775">
      <w:pPr>
        <w:pStyle w:val="ListParagraph"/>
        <w:numPr>
          <w:ilvl w:val="0"/>
          <w:numId w:val="7"/>
        </w:num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Review of documentation of required cleaning/maintenance of grease retention units;</w:t>
      </w:r>
    </w:p>
    <w:p w:rsidR="00026DEC" w:rsidRDefault="00026DEC" w:rsidP="005A4775">
      <w:pPr>
        <w:pStyle w:val="ListParagraph"/>
        <w:autoSpaceDE w:val="0"/>
        <w:autoSpaceDN w:val="0"/>
        <w:adjustRightInd w:val="0"/>
        <w:spacing w:after="0" w:line="240" w:lineRule="auto"/>
        <w:rPr>
          <w:rFonts w:asciiTheme="majorHAnsi" w:hAnsiTheme="majorHAnsi" w:cs="Times New Roman"/>
          <w:sz w:val="24"/>
          <w:szCs w:val="24"/>
        </w:rPr>
      </w:pPr>
    </w:p>
    <w:p w:rsidR="00687941" w:rsidRPr="00026DEC" w:rsidRDefault="00687941" w:rsidP="005A4775">
      <w:pPr>
        <w:pStyle w:val="ListParagraph"/>
        <w:numPr>
          <w:ilvl w:val="0"/>
          <w:numId w:val="7"/>
        </w:num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Review of records/activities required to be documented and maintained by the User;</w:t>
      </w:r>
    </w:p>
    <w:p w:rsidR="00026DEC" w:rsidRDefault="00026DEC" w:rsidP="005A4775">
      <w:pPr>
        <w:pStyle w:val="ListParagraph"/>
        <w:autoSpaceDE w:val="0"/>
        <w:autoSpaceDN w:val="0"/>
        <w:adjustRightInd w:val="0"/>
        <w:spacing w:after="0" w:line="240" w:lineRule="auto"/>
        <w:rPr>
          <w:rFonts w:asciiTheme="majorHAnsi" w:hAnsiTheme="majorHAnsi" w:cs="Times New Roman"/>
          <w:sz w:val="24"/>
          <w:szCs w:val="24"/>
        </w:rPr>
      </w:pPr>
    </w:p>
    <w:p w:rsidR="00687941" w:rsidRDefault="00687941" w:rsidP="005A4775">
      <w:pPr>
        <w:pStyle w:val="ListParagraph"/>
        <w:numPr>
          <w:ilvl w:val="0"/>
          <w:numId w:val="7"/>
        </w:num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Review of procedures and implementation of Enforceable Best Management Practices</w:t>
      </w:r>
    </w:p>
    <w:p w:rsidR="005A4775" w:rsidRPr="00026DEC" w:rsidRDefault="005A4775" w:rsidP="005A4775">
      <w:pPr>
        <w:pStyle w:val="ListParagraph"/>
        <w:autoSpaceDE w:val="0"/>
        <w:autoSpaceDN w:val="0"/>
        <w:adjustRightInd w:val="0"/>
        <w:spacing w:after="0" w:line="240" w:lineRule="auto"/>
        <w:rPr>
          <w:rFonts w:asciiTheme="majorHAnsi" w:hAnsiTheme="majorHAnsi" w:cs="Times New Roman"/>
          <w:sz w:val="24"/>
          <w:szCs w:val="24"/>
        </w:rPr>
      </w:pPr>
    </w:p>
    <w:p w:rsidR="00687941" w:rsidRPr="00026DEC" w:rsidRDefault="00687941" w:rsidP="005A4775">
      <w:pPr>
        <w:pStyle w:val="ListParagraph"/>
        <w:numPr>
          <w:ilvl w:val="0"/>
          <w:numId w:val="7"/>
        </w:numPr>
        <w:autoSpaceDE w:val="0"/>
        <w:autoSpaceDN w:val="0"/>
        <w:adjustRightInd w:val="0"/>
        <w:spacing w:after="0" w:line="240" w:lineRule="auto"/>
        <w:rPr>
          <w:rFonts w:asciiTheme="majorHAnsi" w:hAnsiTheme="majorHAnsi" w:cs="Times New Roman"/>
          <w:sz w:val="24"/>
          <w:szCs w:val="24"/>
        </w:rPr>
      </w:pPr>
      <w:r w:rsidRPr="00026DEC">
        <w:rPr>
          <w:rFonts w:asciiTheme="majorHAnsi" w:hAnsiTheme="majorHAnsi" w:cs="Times New Roman"/>
          <w:sz w:val="24"/>
          <w:szCs w:val="24"/>
        </w:rPr>
        <w:t>Investigation of sanitary sewer overflows and spill and illegal discharges</w:t>
      </w:r>
    </w:p>
    <w:p w:rsidR="000443E9" w:rsidRPr="005A4775" w:rsidRDefault="000443E9" w:rsidP="005A4775">
      <w:pPr>
        <w:pStyle w:val="ListParagraph"/>
        <w:autoSpaceDE w:val="0"/>
        <w:autoSpaceDN w:val="0"/>
        <w:adjustRightInd w:val="0"/>
        <w:spacing w:after="0" w:line="240" w:lineRule="auto"/>
        <w:rPr>
          <w:rFonts w:asciiTheme="majorHAnsi" w:hAnsiTheme="majorHAnsi" w:cs="Times New Roman"/>
          <w:sz w:val="24"/>
          <w:szCs w:val="24"/>
        </w:rPr>
      </w:pPr>
    </w:p>
    <w:p w:rsidR="005A4775" w:rsidRDefault="005A4775" w:rsidP="00687941">
      <w:pPr>
        <w:autoSpaceDE w:val="0"/>
        <w:autoSpaceDN w:val="0"/>
        <w:adjustRightInd w:val="0"/>
        <w:spacing w:after="0" w:line="240" w:lineRule="auto"/>
        <w:rPr>
          <w:rFonts w:asciiTheme="majorHAnsi" w:hAnsiTheme="majorHAnsi" w:cs="Times New Roman"/>
          <w:b/>
          <w:bCs/>
          <w:sz w:val="24"/>
          <w:szCs w:val="24"/>
        </w:rPr>
      </w:pPr>
    </w:p>
    <w:p w:rsidR="005A4775" w:rsidRDefault="005A4775" w:rsidP="00687941">
      <w:pPr>
        <w:autoSpaceDE w:val="0"/>
        <w:autoSpaceDN w:val="0"/>
        <w:adjustRightInd w:val="0"/>
        <w:spacing w:after="0" w:line="240" w:lineRule="auto"/>
        <w:rPr>
          <w:rFonts w:asciiTheme="majorHAnsi" w:hAnsiTheme="majorHAnsi" w:cs="Times New Roman"/>
          <w:b/>
          <w:bCs/>
          <w:sz w:val="24"/>
          <w:szCs w:val="24"/>
        </w:rPr>
      </w:pPr>
    </w:p>
    <w:p w:rsidR="005A4775" w:rsidRDefault="005A4775" w:rsidP="00687941">
      <w:pPr>
        <w:autoSpaceDE w:val="0"/>
        <w:autoSpaceDN w:val="0"/>
        <w:adjustRightInd w:val="0"/>
        <w:spacing w:after="0" w:line="240" w:lineRule="auto"/>
        <w:rPr>
          <w:rFonts w:asciiTheme="majorHAnsi" w:hAnsiTheme="majorHAnsi" w:cs="Times New Roman"/>
          <w:b/>
          <w:bCs/>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lastRenderedPageBreak/>
        <w:t>Section 6 - ENFORCEMENT TIER LEVELS:</w:t>
      </w:r>
    </w:p>
    <w:p w:rsidR="000443E9" w:rsidRPr="00026DEC" w:rsidRDefault="000443E9" w:rsidP="00687941">
      <w:pPr>
        <w:autoSpaceDE w:val="0"/>
        <w:autoSpaceDN w:val="0"/>
        <w:adjustRightInd w:val="0"/>
        <w:spacing w:after="0" w:line="240" w:lineRule="auto"/>
        <w:rPr>
          <w:rFonts w:asciiTheme="majorHAnsi" w:hAnsiTheme="majorHAnsi" w:cs="Times New Roman"/>
          <w:b/>
          <w:bCs/>
          <w:sz w:val="24"/>
          <w:szCs w:val="24"/>
        </w:rPr>
      </w:pPr>
    </w:p>
    <w:p w:rsidR="00687941" w:rsidRPr="00916FA6" w:rsidRDefault="00687941" w:rsidP="005A4775">
      <w:pPr>
        <w:autoSpaceDE w:val="0"/>
        <w:autoSpaceDN w:val="0"/>
        <w:adjustRightInd w:val="0"/>
        <w:spacing w:after="0" w:line="240" w:lineRule="auto"/>
        <w:jc w:val="center"/>
        <w:rPr>
          <w:rFonts w:asciiTheme="majorHAnsi" w:hAnsiTheme="majorHAnsi" w:cs="Times New Roman"/>
          <w:b/>
          <w:bCs/>
          <w:sz w:val="24"/>
          <w:szCs w:val="24"/>
          <w:u w:val="single"/>
        </w:rPr>
      </w:pPr>
      <w:r w:rsidRPr="00916FA6">
        <w:rPr>
          <w:rFonts w:asciiTheme="majorHAnsi" w:hAnsiTheme="majorHAnsi" w:cs="Times New Roman"/>
          <w:b/>
          <w:bCs/>
          <w:sz w:val="24"/>
          <w:szCs w:val="24"/>
          <w:u w:val="single"/>
        </w:rPr>
        <w:t>ENFORCEMENT TIER LEVELS/ACTIONS</w:t>
      </w:r>
    </w:p>
    <w:p w:rsidR="00916FA6" w:rsidRPr="00026DEC" w:rsidRDefault="00916FA6" w:rsidP="005A4775">
      <w:pPr>
        <w:autoSpaceDE w:val="0"/>
        <w:autoSpaceDN w:val="0"/>
        <w:adjustRightInd w:val="0"/>
        <w:spacing w:after="0" w:line="240" w:lineRule="auto"/>
        <w:jc w:val="center"/>
        <w:rPr>
          <w:rFonts w:asciiTheme="majorHAnsi" w:hAnsiTheme="majorHAnsi" w:cs="Times New Roman"/>
          <w:b/>
          <w:bCs/>
          <w:sz w:val="24"/>
          <w:szCs w:val="24"/>
        </w:rPr>
      </w:pPr>
    </w:p>
    <w:p w:rsidR="00687941" w:rsidRPr="00026DEC" w:rsidRDefault="00687941" w:rsidP="005A4775">
      <w:pPr>
        <w:autoSpaceDE w:val="0"/>
        <w:autoSpaceDN w:val="0"/>
        <w:adjustRightInd w:val="0"/>
        <w:spacing w:after="0" w:line="240" w:lineRule="auto"/>
        <w:ind w:left="1440" w:hanging="1440"/>
        <w:rPr>
          <w:rFonts w:asciiTheme="majorHAnsi" w:hAnsiTheme="majorHAnsi" w:cs="Times New Roman"/>
          <w:sz w:val="24"/>
          <w:szCs w:val="24"/>
        </w:rPr>
      </w:pPr>
      <w:r w:rsidRPr="00026DEC">
        <w:rPr>
          <w:rFonts w:asciiTheme="majorHAnsi" w:hAnsiTheme="majorHAnsi" w:cs="Times New Roman"/>
          <w:b/>
          <w:bCs/>
          <w:sz w:val="24"/>
          <w:szCs w:val="24"/>
        </w:rPr>
        <w:t>TIER I</w:t>
      </w:r>
      <w:r w:rsidR="005A4775">
        <w:rPr>
          <w:rFonts w:asciiTheme="majorHAnsi" w:hAnsiTheme="majorHAnsi" w:cs="Times New Roman"/>
          <w:b/>
          <w:bCs/>
          <w:sz w:val="24"/>
          <w:szCs w:val="24"/>
        </w:rPr>
        <w:tab/>
      </w:r>
      <w:r w:rsidRPr="00026DEC">
        <w:rPr>
          <w:rFonts w:asciiTheme="majorHAnsi" w:hAnsiTheme="majorHAnsi" w:cs="Times New Roman"/>
          <w:sz w:val="24"/>
          <w:szCs w:val="24"/>
        </w:rPr>
        <w:t>Notice of Deficiency/Notice to Correct – No Civil Penalty Assessed</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II</w:t>
      </w:r>
      <w:r>
        <w:rPr>
          <w:rFonts w:asciiTheme="majorHAnsi" w:hAnsiTheme="majorHAnsi" w:cs="Times New Roman"/>
          <w:b/>
          <w:bCs/>
          <w:sz w:val="24"/>
          <w:szCs w:val="24"/>
        </w:rPr>
        <w:tab/>
      </w:r>
      <w:r w:rsidR="00687941" w:rsidRPr="00026DEC">
        <w:rPr>
          <w:rFonts w:asciiTheme="majorHAnsi" w:hAnsiTheme="majorHAnsi" w:cs="Times New Roman"/>
          <w:sz w:val="24"/>
          <w:szCs w:val="24"/>
        </w:rPr>
        <w:t>Notice of Violation – Civil Penalty of $0 - $50 Assessed</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III</w:t>
      </w:r>
      <w:r>
        <w:rPr>
          <w:rFonts w:asciiTheme="majorHAnsi" w:hAnsiTheme="majorHAnsi" w:cs="Times New Roman"/>
          <w:b/>
          <w:bCs/>
          <w:sz w:val="24"/>
          <w:szCs w:val="24"/>
        </w:rPr>
        <w:tab/>
      </w:r>
      <w:r w:rsidR="00687941" w:rsidRPr="00026DEC">
        <w:rPr>
          <w:rFonts w:asciiTheme="majorHAnsi" w:hAnsiTheme="majorHAnsi" w:cs="Times New Roman"/>
          <w:sz w:val="24"/>
          <w:szCs w:val="24"/>
        </w:rPr>
        <w:t>Notice of Violation – Civil Penalty of $75 - $100 Assessed</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IV</w:t>
      </w:r>
      <w:r>
        <w:rPr>
          <w:rFonts w:asciiTheme="majorHAnsi" w:hAnsiTheme="majorHAnsi" w:cs="Times New Roman"/>
          <w:b/>
          <w:bCs/>
          <w:sz w:val="24"/>
          <w:szCs w:val="24"/>
        </w:rPr>
        <w:tab/>
      </w:r>
      <w:r w:rsidR="00687941" w:rsidRPr="00026DEC">
        <w:rPr>
          <w:rFonts w:asciiTheme="majorHAnsi" w:hAnsiTheme="majorHAnsi" w:cs="Times New Roman"/>
          <w:sz w:val="24"/>
          <w:szCs w:val="24"/>
        </w:rPr>
        <w:t>Notice of Violation – Civil Penalty of $150 - $500 Assessed</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V</w:t>
      </w:r>
      <w:r>
        <w:rPr>
          <w:rFonts w:asciiTheme="majorHAnsi" w:hAnsiTheme="majorHAnsi" w:cs="Times New Roman"/>
          <w:b/>
          <w:bCs/>
          <w:sz w:val="24"/>
          <w:szCs w:val="24"/>
        </w:rPr>
        <w:tab/>
      </w:r>
      <w:r w:rsidR="00687941" w:rsidRPr="00026DEC">
        <w:rPr>
          <w:rFonts w:asciiTheme="majorHAnsi" w:hAnsiTheme="majorHAnsi" w:cs="Times New Roman"/>
          <w:sz w:val="24"/>
          <w:szCs w:val="24"/>
        </w:rPr>
        <w:t>Notice of Violation – Civil Penalty of $500 - $1000 Assessed</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VI</w:t>
      </w:r>
      <w:r>
        <w:rPr>
          <w:rFonts w:asciiTheme="majorHAnsi" w:hAnsiTheme="majorHAnsi" w:cs="Times New Roman"/>
          <w:b/>
          <w:bCs/>
          <w:sz w:val="24"/>
          <w:szCs w:val="24"/>
        </w:rPr>
        <w:tab/>
      </w:r>
      <w:r w:rsidR="00687941" w:rsidRPr="00026DEC">
        <w:rPr>
          <w:rFonts w:asciiTheme="majorHAnsi" w:hAnsiTheme="majorHAnsi" w:cs="Times New Roman"/>
          <w:sz w:val="24"/>
          <w:szCs w:val="24"/>
        </w:rPr>
        <w:t>Notice of Violation - Civil Penalty of $1000 - $10,000 Assessed (Possible Consent</w:t>
      </w:r>
      <w:r w:rsidR="00026DEC">
        <w:rPr>
          <w:rFonts w:asciiTheme="majorHAnsi" w:hAnsiTheme="majorHAnsi" w:cs="Times New Roman"/>
          <w:sz w:val="24"/>
          <w:szCs w:val="24"/>
        </w:rPr>
        <w:t xml:space="preserve"> </w:t>
      </w:r>
      <w:r w:rsidR="00687941" w:rsidRPr="00026DEC">
        <w:rPr>
          <w:rFonts w:asciiTheme="majorHAnsi" w:hAnsiTheme="majorHAnsi" w:cs="Times New Roman"/>
          <w:sz w:val="24"/>
          <w:szCs w:val="24"/>
        </w:rPr>
        <w:t>Order or Administrative Order)</w:t>
      </w:r>
    </w:p>
    <w:p w:rsidR="00687941" w:rsidRPr="00026DEC"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VII</w:t>
      </w:r>
      <w:r>
        <w:rPr>
          <w:rFonts w:asciiTheme="majorHAnsi" w:hAnsiTheme="majorHAnsi" w:cs="Times New Roman"/>
          <w:b/>
          <w:bCs/>
          <w:sz w:val="24"/>
          <w:szCs w:val="24"/>
        </w:rPr>
        <w:tab/>
      </w:r>
      <w:r w:rsidR="00687941" w:rsidRPr="00026DEC">
        <w:rPr>
          <w:rFonts w:asciiTheme="majorHAnsi" w:hAnsiTheme="majorHAnsi" w:cs="Times New Roman"/>
          <w:sz w:val="24"/>
          <w:szCs w:val="24"/>
        </w:rPr>
        <w:t>Consent Order/Administrative Order with Stipulated Penalties</w:t>
      </w:r>
    </w:p>
    <w:p w:rsidR="00687941" w:rsidRDefault="005A4775" w:rsidP="005A4775">
      <w:pPr>
        <w:autoSpaceDE w:val="0"/>
        <w:autoSpaceDN w:val="0"/>
        <w:adjustRightInd w:val="0"/>
        <w:spacing w:after="0" w:line="240" w:lineRule="auto"/>
        <w:ind w:left="1440" w:hanging="1440"/>
        <w:rPr>
          <w:rFonts w:asciiTheme="majorHAnsi" w:hAnsiTheme="majorHAnsi" w:cs="Times New Roman"/>
          <w:sz w:val="24"/>
          <w:szCs w:val="24"/>
        </w:rPr>
      </w:pPr>
      <w:r>
        <w:rPr>
          <w:rFonts w:asciiTheme="majorHAnsi" w:hAnsiTheme="majorHAnsi" w:cs="Times New Roman"/>
          <w:b/>
          <w:bCs/>
          <w:sz w:val="24"/>
          <w:szCs w:val="24"/>
        </w:rPr>
        <w:t>TIER VIII</w:t>
      </w:r>
      <w:r>
        <w:rPr>
          <w:rFonts w:asciiTheme="majorHAnsi" w:hAnsiTheme="majorHAnsi" w:cs="Times New Roman"/>
          <w:b/>
          <w:bCs/>
          <w:sz w:val="24"/>
          <w:szCs w:val="24"/>
        </w:rPr>
        <w:tab/>
      </w:r>
      <w:r w:rsidR="00687941" w:rsidRPr="00026DEC">
        <w:rPr>
          <w:rFonts w:asciiTheme="majorHAnsi" w:hAnsiTheme="majorHAnsi" w:cs="Times New Roman"/>
          <w:sz w:val="24"/>
          <w:szCs w:val="24"/>
        </w:rPr>
        <w:t>C/O/A/O with Stipulated Penalties and Termination of [Sewer] Service (TOS)</w:t>
      </w:r>
    </w:p>
    <w:p w:rsidR="005A4775" w:rsidRPr="00026DEC" w:rsidRDefault="005A4775" w:rsidP="00687941">
      <w:pPr>
        <w:autoSpaceDE w:val="0"/>
        <w:autoSpaceDN w:val="0"/>
        <w:adjustRightInd w:val="0"/>
        <w:spacing w:after="0" w:line="240" w:lineRule="auto"/>
        <w:rPr>
          <w:rFonts w:asciiTheme="majorHAnsi" w:hAnsiTheme="majorHAnsi" w:cs="Times New Roman"/>
          <w:sz w:val="24"/>
          <w:szCs w:val="24"/>
        </w:rPr>
      </w:pPr>
    </w:p>
    <w:p w:rsidR="00687941" w:rsidRPr="00026DEC" w:rsidRDefault="00916FA6" w:rsidP="00916FA6">
      <w:pPr>
        <w:autoSpaceDE w:val="0"/>
        <w:autoSpaceDN w:val="0"/>
        <w:adjustRightInd w:val="0"/>
        <w:spacing w:after="0" w:line="240" w:lineRule="auto"/>
        <w:jc w:val="center"/>
        <w:rPr>
          <w:rFonts w:asciiTheme="majorHAnsi" w:hAnsiTheme="majorHAnsi" w:cs="Times New Roman"/>
          <w:i/>
          <w:iCs/>
          <w:sz w:val="24"/>
          <w:szCs w:val="24"/>
        </w:rPr>
      </w:pPr>
      <w:r>
        <w:rPr>
          <w:rFonts w:asciiTheme="majorHAnsi" w:hAnsiTheme="majorHAnsi" w:cs="Times New Roman"/>
          <w:i/>
          <w:iCs/>
          <w:sz w:val="24"/>
          <w:szCs w:val="24"/>
        </w:rPr>
        <w:t>N</w:t>
      </w:r>
      <w:r w:rsidR="00687941" w:rsidRPr="00026DEC">
        <w:rPr>
          <w:rFonts w:asciiTheme="majorHAnsi" w:hAnsiTheme="majorHAnsi" w:cs="Times New Roman"/>
          <w:i/>
          <w:iCs/>
          <w:sz w:val="24"/>
          <w:szCs w:val="24"/>
        </w:rPr>
        <w:t>ote that Reimbursements Costs are in addition to any civil penalties assessed.</w:t>
      </w:r>
    </w:p>
    <w:p w:rsidR="000443E9" w:rsidRPr="00026DEC" w:rsidRDefault="000443E9" w:rsidP="00687941">
      <w:pPr>
        <w:autoSpaceDE w:val="0"/>
        <w:autoSpaceDN w:val="0"/>
        <w:adjustRightInd w:val="0"/>
        <w:spacing w:after="0" w:line="240" w:lineRule="auto"/>
        <w:rPr>
          <w:rFonts w:asciiTheme="majorHAnsi" w:hAnsiTheme="majorHAnsi" w:cs="Times New Roman"/>
          <w:b/>
          <w:bCs/>
          <w:sz w:val="24"/>
          <w:szCs w:val="24"/>
        </w:rPr>
      </w:pPr>
    </w:p>
    <w:p w:rsidR="00687941" w:rsidRPr="00026DEC" w:rsidRDefault="00687941" w:rsidP="00687941">
      <w:pPr>
        <w:autoSpaceDE w:val="0"/>
        <w:autoSpaceDN w:val="0"/>
        <w:adjustRightInd w:val="0"/>
        <w:spacing w:after="0" w:line="240" w:lineRule="auto"/>
        <w:rPr>
          <w:rFonts w:asciiTheme="majorHAnsi" w:hAnsiTheme="majorHAnsi" w:cs="Times New Roman"/>
          <w:b/>
          <w:bCs/>
          <w:sz w:val="24"/>
          <w:szCs w:val="24"/>
        </w:rPr>
      </w:pPr>
      <w:r w:rsidRPr="00026DEC">
        <w:rPr>
          <w:rFonts w:asciiTheme="majorHAnsi" w:hAnsiTheme="majorHAnsi" w:cs="Times New Roman"/>
          <w:b/>
          <w:bCs/>
          <w:sz w:val="24"/>
          <w:szCs w:val="24"/>
        </w:rPr>
        <w:t>Section 7 – Types of Violations</w:t>
      </w:r>
    </w:p>
    <w:p w:rsidR="004719CF" w:rsidRPr="00026DEC" w:rsidRDefault="004719CF" w:rsidP="00687941">
      <w:pPr>
        <w:autoSpaceDE w:val="0"/>
        <w:autoSpaceDN w:val="0"/>
        <w:adjustRightInd w:val="0"/>
        <w:spacing w:after="0" w:line="240" w:lineRule="auto"/>
        <w:rPr>
          <w:rFonts w:asciiTheme="majorHAnsi" w:hAnsiTheme="majorHAnsi" w:cs="Times New Roman"/>
          <w:b/>
          <w:bCs/>
          <w:sz w:val="24"/>
          <w:szCs w:val="24"/>
        </w:rPr>
      </w:pPr>
    </w:p>
    <w:tbl>
      <w:tblPr>
        <w:tblStyle w:val="TableGrid"/>
        <w:tblW w:w="8910" w:type="dxa"/>
        <w:jc w:val="center"/>
        <w:tblInd w:w="-792" w:type="dxa"/>
        <w:tblLook w:val="04A0" w:firstRow="1" w:lastRow="0" w:firstColumn="1" w:lastColumn="0" w:noHBand="0" w:noVBand="1"/>
      </w:tblPr>
      <w:tblGrid>
        <w:gridCol w:w="2268"/>
        <w:gridCol w:w="1660"/>
        <w:gridCol w:w="1661"/>
        <w:gridCol w:w="1660"/>
        <w:gridCol w:w="1661"/>
      </w:tblGrid>
      <w:tr w:rsidR="004719CF" w:rsidRPr="00916FA6" w:rsidTr="00916FA6">
        <w:trPr>
          <w:trHeight w:val="576"/>
          <w:jc w:val="center"/>
        </w:trPr>
        <w:tc>
          <w:tcPr>
            <w:tcW w:w="2268" w:type="dxa"/>
            <w:shd w:val="clear" w:color="auto" w:fill="D9D9D9" w:themeFill="background1" w:themeFillShade="D9"/>
          </w:tcPr>
          <w:p w:rsidR="004719CF" w:rsidRPr="00916FA6" w:rsidRDefault="004719CF" w:rsidP="00916FA6">
            <w:pPr>
              <w:jc w:val="center"/>
              <w:rPr>
                <w:rFonts w:asciiTheme="majorHAnsi" w:hAnsiTheme="majorHAnsi"/>
                <w:b/>
                <w:sz w:val="20"/>
                <w:szCs w:val="20"/>
              </w:rPr>
            </w:pPr>
            <w:r w:rsidRPr="00916FA6">
              <w:rPr>
                <w:rFonts w:asciiTheme="majorHAnsi" w:hAnsiTheme="majorHAnsi"/>
                <w:b/>
                <w:sz w:val="20"/>
                <w:szCs w:val="20"/>
              </w:rPr>
              <w:t>Type of Violation</w:t>
            </w:r>
          </w:p>
        </w:tc>
        <w:tc>
          <w:tcPr>
            <w:tcW w:w="1660" w:type="dxa"/>
            <w:shd w:val="clear" w:color="auto" w:fill="D9D9D9" w:themeFill="background1" w:themeFillShade="D9"/>
          </w:tcPr>
          <w:p w:rsidR="00916FA6" w:rsidRDefault="004719CF" w:rsidP="00916FA6">
            <w:pPr>
              <w:jc w:val="center"/>
              <w:rPr>
                <w:rFonts w:asciiTheme="majorHAnsi" w:hAnsiTheme="majorHAnsi"/>
                <w:b/>
                <w:sz w:val="20"/>
                <w:szCs w:val="20"/>
              </w:rPr>
            </w:pPr>
            <w:r w:rsidRPr="00916FA6">
              <w:rPr>
                <w:rFonts w:asciiTheme="majorHAnsi" w:hAnsiTheme="majorHAnsi"/>
                <w:b/>
                <w:sz w:val="20"/>
                <w:szCs w:val="20"/>
              </w:rPr>
              <w:t>1</w:t>
            </w:r>
            <w:r w:rsidRPr="00916FA6">
              <w:rPr>
                <w:rFonts w:asciiTheme="majorHAnsi" w:hAnsiTheme="majorHAnsi"/>
                <w:b/>
                <w:sz w:val="20"/>
                <w:szCs w:val="20"/>
                <w:vertAlign w:val="superscript"/>
              </w:rPr>
              <w:t>st</w:t>
            </w:r>
          </w:p>
          <w:p w:rsidR="004719CF" w:rsidRPr="00916FA6" w:rsidRDefault="004719CF" w:rsidP="00916FA6">
            <w:pPr>
              <w:jc w:val="center"/>
              <w:rPr>
                <w:rFonts w:asciiTheme="majorHAnsi" w:hAnsiTheme="majorHAnsi"/>
                <w:b/>
                <w:sz w:val="20"/>
                <w:szCs w:val="20"/>
              </w:rPr>
            </w:pPr>
            <w:r w:rsidRPr="00916FA6">
              <w:rPr>
                <w:rFonts w:asciiTheme="majorHAnsi" w:hAnsiTheme="majorHAnsi"/>
                <w:b/>
                <w:sz w:val="20"/>
                <w:szCs w:val="20"/>
              </w:rPr>
              <w:t>Occurrence</w:t>
            </w:r>
          </w:p>
        </w:tc>
        <w:tc>
          <w:tcPr>
            <w:tcW w:w="1661" w:type="dxa"/>
            <w:shd w:val="clear" w:color="auto" w:fill="D9D9D9" w:themeFill="background1" w:themeFillShade="D9"/>
          </w:tcPr>
          <w:p w:rsidR="00916FA6" w:rsidRDefault="004719CF" w:rsidP="00916FA6">
            <w:pPr>
              <w:jc w:val="center"/>
              <w:rPr>
                <w:rFonts w:asciiTheme="majorHAnsi" w:hAnsiTheme="majorHAnsi"/>
                <w:b/>
                <w:sz w:val="20"/>
                <w:szCs w:val="20"/>
              </w:rPr>
            </w:pPr>
            <w:r w:rsidRPr="00916FA6">
              <w:rPr>
                <w:rFonts w:asciiTheme="majorHAnsi" w:hAnsiTheme="majorHAnsi"/>
                <w:b/>
                <w:sz w:val="20"/>
                <w:szCs w:val="20"/>
              </w:rPr>
              <w:t>2</w:t>
            </w:r>
            <w:r w:rsidRPr="00916FA6">
              <w:rPr>
                <w:rFonts w:asciiTheme="majorHAnsi" w:hAnsiTheme="majorHAnsi"/>
                <w:b/>
                <w:sz w:val="20"/>
                <w:szCs w:val="20"/>
                <w:vertAlign w:val="superscript"/>
              </w:rPr>
              <w:t>nd</w:t>
            </w:r>
          </w:p>
          <w:p w:rsidR="004719CF" w:rsidRPr="00916FA6" w:rsidRDefault="004719CF" w:rsidP="00916FA6">
            <w:pPr>
              <w:jc w:val="center"/>
              <w:rPr>
                <w:rFonts w:asciiTheme="majorHAnsi" w:hAnsiTheme="majorHAnsi"/>
                <w:b/>
                <w:sz w:val="20"/>
                <w:szCs w:val="20"/>
              </w:rPr>
            </w:pPr>
            <w:r w:rsidRPr="00916FA6">
              <w:rPr>
                <w:rFonts w:asciiTheme="majorHAnsi" w:hAnsiTheme="majorHAnsi"/>
                <w:b/>
                <w:sz w:val="20"/>
                <w:szCs w:val="20"/>
              </w:rPr>
              <w:t>Occurrence</w:t>
            </w:r>
          </w:p>
        </w:tc>
        <w:tc>
          <w:tcPr>
            <w:tcW w:w="1660" w:type="dxa"/>
            <w:shd w:val="clear" w:color="auto" w:fill="D9D9D9" w:themeFill="background1" w:themeFillShade="D9"/>
          </w:tcPr>
          <w:p w:rsidR="00916FA6" w:rsidRDefault="004719CF" w:rsidP="00916FA6">
            <w:pPr>
              <w:jc w:val="center"/>
              <w:rPr>
                <w:rFonts w:asciiTheme="majorHAnsi" w:hAnsiTheme="majorHAnsi"/>
                <w:b/>
                <w:sz w:val="20"/>
                <w:szCs w:val="20"/>
              </w:rPr>
            </w:pPr>
            <w:r w:rsidRPr="00916FA6">
              <w:rPr>
                <w:rFonts w:asciiTheme="majorHAnsi" w:hAnsiTheme="majorHAnsi"/>
                <w:b/>
                <w:sz w:val="20"/>
                <w:szCs w:val="20"/>
              </w:rPr>
              <w:t>3</w:t>
            </w:r>
            <w:r w:rsidRPr="00916FA6">
              <w:rPr>
                <w:rFonts w:asciiTheme="majorHAnsi" w:hAnsiTheme="majorHAnsi"/>
                <w:b/>
                <w:sz w:val="20"/>
                <w:szCs w:val="20"/>
                <w:vertAlign w:val="superscript"/>
              </w:rPr>
              <w:t>rd</w:t>
            </w:r>
          </w:p>
          <w:p w:rsidR="004719CF" w:rsidRPr="00916FA6" w:rsidRDefault="004719CF" w:rsidP="00916FA6">
            <w:pPr>
              <w:jc w:val="center"/>
              <w:rPr>
                <w:rFonts w:asciiTheme="majorHAnsi" w:hAnsiTheme="majorHAnsi"/>
                <w:b/>
                <w:sz w:val="20"/>
                <w:szCs w:val="20"/>
              </w:rPr>
            </w:pPr>
            <w:r w:rsidRPr="00916FA6">
              <w:rPr>
                <w:rFonts w:asciiTheme="majorHAnsi" w:hAnsiTheme="majorHAnsi"/>
                <w:b/>
                <w:sz w:val="20"/>
                <w:szCs w:val="20"/>
              </w:rPr>
              <w:t>Occurrence</w:t>
            </w:r>
          </w:p>
        </w:tc>
        <w:tc>
          <w:tcPr>
            <w:tcW w:w="1661" w:type="dxa"/>
            <w:shd w:val="clear" w:color="auto" w:fill="D9D9D9" w:themeFill="background1" w:themeFillShade="D9"/>
          </w:tcPr>
          <w:p w:rsidR="00916FA6" w:rsidRDefault="004719CF" w:rsidP="00916FA6">
            <w:pPr>
              <w:jc w:val="center"/>
              <w:rPr>
                <w:rFonts w:asciiTheme="majorHAnsi" w:hAnsiTheme="majorHAnsi"/>
                <w:b/>
                <w:sz w:val="20"/>
                <w:szCs w:val="20"/>
              </w:rPr>
            </w:pPr>
            <w:r w:rsidRPr="00916FA6">
              <w:rPr>
                <w:rFonts w:asciiTheme="majorHAnsi" w:hAnsiTheme="majorHAnsi"/>
                <w:b/>
                <w:sz w:val="20"/>
                <w:szCs w:val="20"/>
              </w:rPr>
              <w:t>4</w:t>
            </w:r>
            <w:r w:rsidRPr="00916FA6">
              <w:rPr>
                <w:rFonts w:asciiTheme="majorHAnsi" w:hAnsiTheme="majorHAnsi"/>
                <w:b/>
                <w:sz w:val="20"/>
                <w:szCs w:val="20"/>
                <w:vertAlign w:val="superscript"/>
              </w:rPr>
              <w:t>th</w:t>
            </w:r>
            <w:r w:rsidRPr="00916FA6">
              <w:rPr>
                <w:rFonts w:asciiTheme="majorHAnsi" w:hAnsiTheme="majorHAnsi"/>
                <w:b/>
                <w:sz w:val="20"/>
                <w:szCs w:val="20"/>
              </w:rPr>
              <w:t xml:space="preserve"> </w:t>
            </w:r>
            <w:r w:rsidR="00916FA6">
              <w:rPr>
                <w:rFonts w:asciiTheme="majorHAnsi" w:hAnsiTheme="majorHAnsi"/>
                <w:b/>
                <w:sz w:val="20"/>
                <w:szCs w:val="20"/>
              </w:rPr>
              <w:t>or more</w:t>
            </w:r>
          </w:p>
          <w:p w:rsidR="004719CF" w:rsidRPr="00916FA6" w:rsidRDefault="00916FA6" w:rsidP="00916FA6">
            <w:pPr>
              <w:jc w:val="center"/>
              <w:rPr>
                <w:rFonts w:asciiTheme="majorHAnsi" w:hAnsiTheme="majorHAnsi"/>
                <w:b/>
                <w:sz w:val="20"/>
                <w:szCs w:val="20"/>
              </w:rPr>
            </w:pPr>
            <w:r>
              <w:rPr>
                <w:rFonts w:asciiTheme="majorHAnsi" w:hAnsiTheme="majorHAnsi"/>
                <w:b/>
                <w:sz w:val="20"/>
                <w:szCs w:val="20"/>
              </w:rPr>
              <w:t>Occurrences</w:t>
            </w:r>
          </w:p>
        </w:tc>
      </w:tr>
      <w:tr w:rsidR="004719CF" w:rsidRPr="00916FA6" w:rsidTr="00916FA6">
        <w:trPr>
          <w:trHeight w:val="576"/>
          <w:jc w:val="center"/>
        </w:trPr>
        <w:tc>
          <w:tcPr>
            <w:tcW w:w="2268" w:type="dxa"/>
          </w:tcPr>
          <w:p w:rsidR="004719CF" w:rsidRPr="00916FA6" w:rsidRDefault="004719CF" w:rsidP="00324AA9">
            <w:pPr>
              <w:rPr>
                <w:rFonts w:asciiTheme="majorHAnsi" w:hAnsiTheme="majorHAnsi"/>
                <w:sz w:val="20"/>
                <w:szCs w:val="20"/>
              </w:rPr>
            </w:pPr>
            <w:r w:rsidRPr="00916FA6">
              <w:rPr>
                <w:rFonts w:asciiTheme="majorHAnsi" w:hAnsiTheme="majorHAnsi"/>
                <w:sz w:val="20"/>
                <w:szCs w:val="20"/>
              </w:rPr>
              <w:t>Failure to maintain on site records</w:t>
            </w:r>
          </w:p>
        </w:tc>
        <w:tc>
          <w:tcPr>
            <w:tcW w:w="1660"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I</w:t>
            </w:r>
          </w:p>
        </w:tc>
        <w:tc>
          <w:tcPr>
            <w:tcW w:w="1661"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III-TIER V</w:t>
            </w:r>
          </w:p>
        </w:tc>
        <w:tc>
          <w:tcPr>
            <w:tcW w:w="1660" w:type="dxa"/>
          </w:tcPr>
          <w:p w:rsidR="004719CF" w:rsidRPr="00916FA6" w:rsidRDefault="004719CF" w:rsidP="00916FA6">
            <w:pPr>
              <w:jc w:val="center"/>
              <w:rPr>
                <w:rFonts w:asciiTheme="majorHAnsi" w:hAnsiTheme="majorHAnsi"/>
                <w:sz w:val="20"/>
                <w:szCs w:val="20"/>
              </w:rPr>
            </w:pPr>
          </w:p>
        </w:tc>
        <w:tc>
          <w:tcPr>
            <w:tcW w:w="1661" w:type="dxa"/>
          </w:tcPr>
          <w:p w:rsidR="004719CF" w:rsidRPr="00916FA6" w:rsidRDefault="004719CF" w:rsidP="00916FA6">
            <w:pPr>
              <w:jc w:val="center"/>
              <w:rPr>
                <w:rFonts w:asciiTheme="majorHAnsi" w:hAnsiTheme="majorHAnsi"/>
                <w:sz w:val="20"/>
                <w:szCs w:val="20"/>
              </w:rPr>
            </w:pPr>
          </w:p>
        </w:tc>
      </w:tr>
      <w:tr w:rsidR="004719CF" w:rsidRPr="00916FA6" w:rsidTr="00916FA6">
        <w:trPr>
          <w:trHeight w:val="576"/>
          <w:jc w:val="center"/>
        </w:trPr>
        <w:tc>
          <w:tcPr>
            <w:tcW w:w="2268" w:type="dxa"/>
          </w:tcPr>
          <w:p w:rsidR="004719CF" w:rsidRPr="00916FA6" w:rsidRDefault="004719CF" w:rsidP="00324AA9">
            <w:pPr>
              <w:rPr>
                <w:rFonts w:asciiTheme="majorHAnsi" w:hAnsiTheme="majorHAnsi"/>
                <w:sz w:val="20"/>
                <w:szCs w:val="20"/>
              </w:rPr>
            </w:pPr>
            <w:r w:rsidRPr="00916FA6">
              <w:rPr>
                <w:rFonts w:asciiTheme="majorHAnsi" w:hAnsiTheme="majorHAnsi"/>
                <w:sz w:val="20"/>
                <w:szCs w:val="20"/>
              </w:rPr>
              <w:t>Failure to pump grease trap/Interceptor</w:t>
            </w:r>
          </w:p>
        </w:tc>
        <w:tc>
          <w:tcPr>
            <w:tcW w:w="1660"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IV</w:t>
            </w:r>
          </w:p>
        </w:tc>
        <w:tc>
          <w:tcPr>
            <w:tcW w:w="1661"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V</w:t>
            </w:r>
          </w:p>
        </w:tc>
        <w:tc>
          <w:tcPr>
            <w:tcW w:w="1660" w:type="dxa"/>
          </w:tcPr>
          <w:p w:rsidR="004719CF" w:rsidRPr="00916FA6" w:rsidRDefault="004657FD" w:rsidP="00916FA6">
            <w:pPr>
              <w:jc w:val="center"/>
              <w:rPr>
                <w:rFonts w:asciiTheme="majorHAnsi" w:hAnsiTheme="majorHAnsi"/>
                <w:sz w:val="20"/>
                <w:szCs w:val="20"/>
              </w:rPr>
            </w:pPr>
            <w:r>
              <w:rPr>
                <w:rFonts w:asciiTheme="majorHAnsi" w:hAnsiTheme="majorHAnsi"/>
                <w:sz w:val="20"/>
                <w:szCs w:val="20"/>
              </w:rPr>
              <w:t>TIER V</w:t>
            </w:r>
          </w:p>
        </w:tc>
        <w:tc>
          <w:tcPr>
            <w:tcW w:w="1661" w:type="dxa"/>
          </w:tcPr>
          <w:p w:rsidR="004719CF" w:rsidRPr="00916FA6" w:rsidRDefault="004657FD" w:rsidP="00916FA6">
            <w:pPr>
              <w:jc w:val="center"/>
              <w:rPr>
                <w:rFonts w:asciiTheme="majorHAnsi" w:hAnsiTheme="majorHAnsi"/>
                <w:sz w:val="20"/>
                <w:szCs w:val="20"/>
              </w:rPr>
            </w:pPr>
            <w:r>
              <w:rPr>
                <w:rFonts w:asciiTheme="majorHAnsi" w:hAnsiTheme="majorHAnsi"/>
                <w:sz w:val="20"/>
                <w:szCs w:val="20"/>
              </w:rPr>
              <w:t>TIER V</w:t>
            </w:r>
          </w:p>
        </w:tc>
      </w:tr>
      <w:tr w:rsidR="004719CF" w:rsidRPr="00916FA6" w:rsidTr="00916FA6">
        <w:trPr>
          <w:trHeight w:val="1268"/>
          <w:jc w:val="center"/>
        </w:trPr>
        <w:tc>
          <w:tcPr>
            <w:tcW w:w="2268" w:type="dxa"/>
          </w:tcPr>
          <w:p w:rsidR="004719CF" w:rsidRPr="00916FA6" w:rsidRDefault="004719CF" w:rsidP="00916FA6">
            <w:pPr>
              <w:rPr>
                <w:rFonts w:asciiTheme="majorHAnsi" w:hAnsiTheme="majorHAnsi"/>
                <w:sz w:val="20"/>
                <w:szCs w:val="20"/>
              </w:rPr>
            </w:pPr>
            <w:r w:rsidRPr="00916FA6">
              <w:rPr>
                <w:rFonts w:asciiTheme="majorHAnsi" w:hAnsiTheme="majorHAnsi"/>
                <w:sz w:val="20"/>
                <w:szCs w:val="20"/>
              </w:rPr>
              <w:t xml:space="preserve">Failure to maintain necessary equipment (T’s, grease </w:t>
            </w:r>
            <w:r w:rsidR="00916FA6">
              <w:rPr>
                <w:rFonts w:asciiTheme="majorHAnsi" w:hAnsiTheme="majorHAnsi"/>
                <w:sz w:val="20"/>
                <w:szCs w:val="20"/>
              </w:rPr>
              <w:t>t</w:t>
            </w:r>
            <w:r w:rsidRPr="00916FA6">
              <w:rPr>
                <w:rFonts w:asciiTheme="majorHAnsi" w:hAnsiTheme="majorHAnsi"/>
                <w:sz w:val="20"/>
                <w:szCs w:val="20"/>
              </w:rPr>
              <w:t>rap</w:t>
            </w:r>
            <w:r w:rsidR="00916FA6">
              <w:rPr>
                <w:rFonts w:asciiTheme="majorHAnsi" w:hAnsiTheme="majorHAnsi"/>
                <w:sz w:val="20"/>
                <w:szCs w:val="20"/>
              </w:rPr>
              <w:t xml:space="preserve"> </w:t>
            </w:r>
            <w:r w:rsidRPr="00916FA6">
              <w:rPr>
                <w:rFonts w:asciiTheme="majorHAnsi" w:hAnsiTheme="majorHAnsi"/>
                <w:sz w:val="20"/>
                <w:szCs w:val="20"/>
              </w:rPr>
              <w:t>/</w:t>
            </w:r>
            <w:r w:rsidR="00916FA6">
              <w:rPr>
                <w:rFonts w:asciiTheme="majorHAnsi" w:hAnsiTheme="majorHAnsi"/>
                <w:sz w:val="20"/>
                <w:szCs w:val="20"/>
              </w:rPr>
              <w:t xml:space="preserve"> </w:t>
            </w:r>
            <w:r w:rsidRPr="00916FA6">
              <w:rPr>
                <w:rFonts w:asciiTheme="majorHAnsi" w:hAnsiTheme="majorHAnsi"/>
                <w:sz w:val="20"/>
                <w:szCs w:val="20"/>
              </w:rPr>
              <w:t>interceptor not watertight, baffles</w:t>
            </w:r>
            <w:r w:rsidR="00916FA6">
              <w:rPr>
                <w:rFonts w:asciiTheme="majorHAnsi" w:hAnsiTheme="majorHAnsi"/>
                <w:sz w:val="20"/>
                <w:szCs w:val="20"/>
              </w:rPr>
              <w:t>)</w:t>
            </w:r>
          </w:p>
        </w:tc>
        <w:tc>
          <w:tcPr>
            <w:tcW w:w="1660"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II</w:t>
            </w:r>
          </w:p>
        </w:tc>
        <w:tc>
          <w:tcPr>
            <w:tcW w:w="1661"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IV</w:t>
            </w:r>
          </w:p>
        </w:tc>
        <w:tc>
          <w:tcPr>
            <w:tcW w:w="1660"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VI</w:t>
            </w:r>
          </w:p>
        </w:tc>
        <w:tc>
          <w:tcPr>
            <w:tcW w:w="1661" w:type="dxa"/>
          </w:tcPr>
          <w:p w:rsidR="004719CF" w:rsidRPr="00916FA6" w:rsidRDefault="004719CF" w:rsidP="00916FA6">
            <w:pPr>
              <w:jc w:val="center"/>
              <w:rPr>
                <w:rFonts w:asciiTheme="majorHAnsi" w:hAnsiTheme="majorHAnsi"/>
                <w:sz w:val="20"/>
                <w:szCs w:val="20"/>
              </w:rPr>
            </w:pPr>
            <w:r w:rsidRPr="00916FA6">
              <w:rPr>
                <w:rFonts w:asciiTheme="majorHAnsi" w:hAnsiTheme="majorHAnsi"/>
                <w:sz w:val="20"/>
                <w:szCs w:val="20"/>
              </w:rPr>
              <w:t>TIER VII</w:t>
            </w:r>
          </w:p>
        </w:tc>
      </w:tr>
      <w:tr w:rsidR="004719CF" w:rsidRPr="002F3653" w:rsidTr="00916FA6">
        <w:trPr>
          <w:trHeight w:val="576"/>
          <w:jc w:val="center"/>
        </w:trPr>
        <w:tc>
          <w:tcPr>
            <w:tcW w:w="2268" w:type="dxa"/>
          </w:tcPr>
          <w:p w:rsidR="004719CF" w:rsidRPr="004657FD" w:rsidRDefault="004719CF" w:rsidP="00324AA9">
            <w:pPr>
              <w:rPr>
                <w:rFonts w:asciiTheme="majorHAnsi" w:hAnsiTheme="majorHAnsi"/>
                <w:sz w:val="20"/>
                <w:szCs w:val="20"/>
              </w:rPr>
            </w:pPr>
            <w:r w:rsidRPr="004657FD">
              <w:rPr>
                <w:rFonts w:asciiTheme="majorHAnsi" w:hAnsiTheme="majorHAnsi"/>
                <w:sz w:val="20"/>
                <w:szCs w:val="20"/>
              </w:rPr>
              <w:t>Source of sewer blockage</w:t>
            </w:r>
          </w:p>
        </w:tc>
        <w:tc>
          <w:tcPr>
            <w:tcW w:w="1660" w:type="dxa"/>
          </w:tcPr>
          <w:p w:rsidR="004719CF" w:rsidRPr="004657FD" w:rsidRDefault="004719CF" w:rsidP="004657FD">
            <w:pPr>
              <w:jc w:val="center"/>
              <w:rPr>
                <w:rFonts w:asciiTheme="majorHAnsi" w:hAnsiTheme="majorHAnsi"/>
                <w:sz w:val="20"/>
                <w:szCs w:val="20"/>
              </w:rPr>
            </w:pPr>
            <w:r w:rsidRPr="004657FD">
              <w:rPr>
                <w:rFonts w:asciiTheme="majorHAnsi" w:hAnsiTheme="majorHAnsi"/>
                <w:sz w:val="20"/>
                <w:szCs w:val="20"/>
              </w:rPr>
              <w:t xml:space="preserve">TIER </w:t>
            </w:r>
            <w:r w:rsidR="004657FD" w:rsidRPr="004657FD">
              <w:rPr>
                <w:rFonts w:asciiTheme="majorHAnsi" w:hAnsiTheme="majorHAnsi"/>
                <w:sz w:val="20"/>
                <w:szCs w:val="20"/>
              </w:rPr>
              <w:t>I</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II-IV</w:t>
            </w:r>
          </w:p>
        </w:tc>
        <w:tc>
          <w:tcPr>
            <w:tcW w:w="1660"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VI</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VI</w:t>
            </w:r>
          </w:p>
        </w:tc>
      </w:tr>
      <w:tr w:rsidR="004719CF" w:rsidRPr="002F3653" w:rsidTr="00916FA6">
        <w:trPr>
          <w:trHeight w:val="576"/>
          <w:jc w:val="center"/>
        </w:trPr>
        <w:tc>
          <w:tcPr>
            <w:tcW w:w="2268" w:type="dxa"/>
          </w:tcPr>
          <w:p w:rsidR="004719CF" w:rsidRPr="004657FD" w:rsidRDefault="004719CF" w:rsidP="00324AA9">
            <w:pPr>
              <w:rPr>
                <w:rFonts w:asciiTheme="majorHAnsi" w:hAnsiTheme="majorHAnsi"/>
                <w:sz w:val="20"/>
                <w:szCs w:val="20"/>
              </w:rPr>
            </w:pPr>
            <w:r w:rsidRPr="004657FD">
              <w:rPr>
                <w:rFonts w:asciiTheme="majorHAnsi" w:hAnsiTheme="majorHAnsi"/>
                <w:sz w:val="20"/>
                <w:szCs w:val="20"/>
              </w:rPr>
              <w:t>Source of blockage causing sanitary sewer overflow</w:t>
            </w:r>
          </w:p>
        </w:tc>
        <w:tc>
          <w:tcPr>
            <w:tcW w:w="1660" w:type="dxa"/>
          </w:tcPr>
          <w:p w:rsidR="004719CF" w:rsidRPr="004657FD" w:rsidRDefault="004719CF" w:rsidP="004657FD">
            <w:pPr>
              <w:jc w:val="center"/>
              <w:rPr>
                <w:rFonts w:asciiTheme="majorHAnsi" w:hAnsiTheme="majorHAnsi"/>
                <w:sz w:val="20"/>
                <w:szCs w:val="20"/>
              </w:rPr>
            </w:pPr>
            <w:r w:rsidRPr="004657FD">
              <w:rPr>
                <w:rFonts w:asciiTheme="majorHAnsi" w:hAnsiTheme="majorHAnsi"/>
                <w:sz w:val="20"/>
                <w:szCs w:val="20"/>
              </w:rPr>
              <w:t xml:space="preserve">TIER </w:t>
            </w:r>
            <w:r w:rsidR="004657FD" w:rsidRPr="004657FD">
              <w:rPr>
                <w:rFonts w:asciiTheme="majorHAnsi" w:hAnsiTheme="majorHAnsi"/>
                <w:sz w:val="20"/>
                <w:szCs w:val="20"/>
              </w:rPr>
              <w:t>I</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II-IV</w:t>
            </w:r>
          </w:p>
        </w:tc>
        <w:tc>
          <w:tcPr>
            <w:tcW w:w="1660"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VI</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VI</w:t>
            </w:r>
          </w:p>
        </w:tc>
      </w:tr>
      <w:tr w:rsidR="004719CF" w:rsidRPr="00916FA6" w:rsidTr="00916FA6">
        <w:trPr>
          <w:trHeight w:val="576"/>
          <w:jc w:val="center"/>
        </w:trPr>
        <w:tc>
          <w:tcPr>
            <w:tcW w:w="2268" w:type="dxa"/>
          </w:tcPr>
          <w:p w:rsidR="004719CF" w:rsidRPr="004657FD" w:rsidRDefault="004719CF" w:rsidP="00324AA9">
            <w:pPr>
              <w:rPr>
                <w:rFonts w:asciiTheme="majorHAnsi" w:hAnsiTheme="majorHAnsi"/>
                <w:sz w:val="20"/>
                <w:szCs w:val="20"/>
              </w:rPr>
            </w:pPr>
            <w:r w:rsidRPr="004657FD">
              <w:rPr>
                <w:rFonts w:asciiTheme="majorHAnsi" w:hAnsiTheme="majorHAnsi"/>
                <w:sz w:val="20"/>
                <w:szCs w:val="20"/>
              </w:rPr>
              <w:t>Falsification of maintenance records</w:t>
            </w:r>
          </w:p>
        </w:tc>
        <w:tc>
          <w:tcPr>
            <w:tcW w:w="1660" w:type="dxa"/>
          </w:tcPr>
          <w:p w:rsidR="004719CF" w:rsidRPr="004657FD" w:rsidRDefault="004719CF" w:rsidP="004657FD">
            <w:pPr>
              <w:jc w:val="center"/>
              <w:rPr>
                <w:rFonts w:asciiTheme="majorHAnsi" w:hAnsiTheme="majorHAnsi"/>
                <w:sz w:val="20"/>
                <w:szCs w:val="20"/>
              </w:rPr>
            </w:pPr>
            <w:r w:rsidRPr="004657FD">
              <w:rPr>
                <w:rFonts w:asciiTheme="majorHAnsi" w:hAnsiTheme="majorHAnsi"/>
                <w:sz w:val="20"/>
                <w:szCs w:val="20"/>
              </w:rPr>
              <w:t xml:space="preserve">TIER </w:t>
            </w:r>
            <w:r w:rsidR="004657FD" w:rsidRPr="004657FD">
              <w:rPr>
                <w:rFonts w:asciiTheme="majorHAnsi" w:hAnsiTheme="majorHAnsi"/>
                <w:sz w:val="20"/>
                <w:szCs w:val="20"/>
              </w:rPr>
              <w:t>I</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w:t>
            </w:r>
          </w:p>
        </w:tc>
        <w:tc>
          <w:tcPr>
            <w:tcW w:w="1660"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 V</w:t>
            </w:r>
          </w:p>
        </w:tc>
        <w:tc>
          <w:tcPr>
            <w:tcW w:w="1661" w:type="dxa"/>
          </w:tcPr>
          <w:p w:rsidR="004719CF" w:rsidRPr="004657FD" w:rsidRDefault="004657FD" w:rsidP="00916FA6">
            <w:pPr>
              <w:jc w:val="center"/>
              <w:rPr>
                <w:rFonts w:asciiTheme="majorHAnsi" w:hAnsiTheme="majorHAnsi"/>
                <w:sz w:val="20"/>
                <w:szCs w:val="20"/>
              </w:rPr>
            </w:pPr>
            <w:r w:rsidRPr="004657FD">
              <w:rPr>
                <w:rFonts w:asciiTheme="majorHAnsi" w:hAnsiTheme="majorHAnsi"/>
                <w:sz w:val="20"/>
                <w:szCs w:val="20"/>
              </w:rPr>
              <w:t>TIERVI</w:t>
            </w:r>
          </w:p>
        </w:tc>
      </w:tr>
    </w:tbl>
    <w:p w:rsidR="004719CF" w:rsidRPr="00026DEC" w:rsidRDefault="004719CF" w:rsidP="00687941">
      <w:pPr>
        <w:autoSpaceDE w:val="0"/>
        <w:autoSpaceDN w:val="0"/>
        <w:adjustRightInd w:val="0"/>
        <w:spacing w:after="0" w:line="240" w:lineRule="auto"/>
        <w:rPr>
          <w:rFonts w:asciiTheme="majorHAnsi" w:hAnsiTheme="majorHAnsi" w:cs="Times New Roman"/>
          <w:b/>
          <w:bCs/>
          <w:sz w:val="24"/>
          <w:szCs w:val="24"/>
        </w:rPr>
      </w:pPr>
    </w:p>
    <w:sectPr w:rsidR="004719CF" w:rsidRPr="00026D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ED" w:rsidRDefault="00D977ED" w:rsidP="00CE0F10">
      <w:pPr>
        <w:spacing w:after="0" w:line="240" w:lineRule="auto"/>
      </w:pPr>
      <w:r>
        <w:separator/>
      </w:r>
    </w:p>
  </w:endnote>
  <w:endnote w:type="continuationSeparator" w:id="0">
    <w:p w:rsidR="00D977ED" w:rsidRDefault="00D977ED" w:rsidP="00CE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79996"/>
      <w:docPartObj>
        <w:docPartGallery w:val="Page Numbers (Bottom of Page)"/>
        <w:docPartUnique/>
      </w:docPartObj>
    </w:sdtPr>
    <w:sdtEndPr>
      <w:rPr>
        <w:noProof/>
      </w:rPr>
    </w:sdtEndPr>
    <w:sdtContent>
      <w:p w:rsidR="00CE0F10" w:rsidRDefault="00CE0F10">
        <w:pPr>
          <w:pStyle w:val="Footer"/>
          <w:jc w:val="center"/>
        </w:pPr>
        <w:r>
          <w:fldChar w:fldCharType="begin"/>
        </w:r>
        <w:r>
          <w:instrText xml:space="preserve"> PAGE   \* MERGEFORMAT </w:instrText>
        </w:r>
        <w:r>
          <w:fldChar w:fldCharType="separate"/>
        </w:r>
        <w:r w:rsidR="00E00D31">
          <w:rPr>
            <w:noProof/>
          </w:rPr>
          <w:t>2</w:t>
        </w:r>
        <w:r>
          <w:rPr>
            <w:noProof/>
          </w:rPr>
          <w:fldChar w:fldCharType="end"/>
        </w:r>
      </w:p>
    </w:sdtContent>
  </w:sdt>
  <w:p w:rsidR="00CE0F10" w:rsidRDefault="00CE0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ED" w:rsidRDefault="00D977ED" w:rsidP="00CE0F10">
      <w:pPr>
        <w:spacing w:after="0" w:line="240" w:lineRule="auto"/>
      </w:pPr>
      <w:r>
        <w:separator/>
      </w:r>
    </w:p>
  </w:footnote>
  <w:footnote w:type="continuationSeparator" w:id="0">
    <w:p w:rsidR="00D977ED" w:rsidRDefault="00D977ED" w:rsidP="00CE0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6DF2"/>
    <w:multiLevelType w:val="hybridMultilevel"/>
    <w:tmpl w:val="5B5EC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14FC2"/>
    <w:multiLevelType w:val="hybridMultilevel"/>
    <w:tmpl w:val="5B5EC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81D05"/>
    <w:multiLevelType w:val="hybridMultilevel"/>
    <w:tmpl w:val="916E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04ACA"/>
    <w:multiLevelType w:val="hybridMultilevel"/>
    <w:tmpl w:val="C5226540"/>
    <w:lvl w:ilvl="0" w:tplc="942E55A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00BF4"/>
    <w:multiLevelType w:val="hybridMultilevel"/>
    <w:tmpl w:val="916E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D07D52"/>
    <w:multiLevelType w:val="hybridMultilevel"/>
    <w:tmpl w:val="EE34D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A50F1"/>
    <w:multiLevelType w:val="hybridMultilevel"/>
    <w:tmpl w:val="C5226540"/>
    <w:lvl w:ilvl="0" w:tplc="942E55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41"/>
    <w:rsid w:val="00026DEC"/>
    <w:rsid w:val="0003252C"/>
    <w:rsid w:val="000443E9"/>
    <w:rsid w:val="000A2A30"/>
    <w:rsid w:val="00147850"/>
    <w:rsid w:val="0022054C"/>
    <w:rsid w:val="0026767C"/>
    <w:rsid w:val="00274861"/>
    <w:rsid w:val="002972D2"/>
    <w:rsid w:val="002F3653"/>
    <w:rsid w:val="00377864"/>
    <w:rsid w:val="00386C79"/>
    <w:rsid w:val="0040499D"/>
    <w:rsid w:val="004657FD"/>
    <w:rsid w:val="004719CF"/>
    <w:rsid w:val="00517195"/>
    <w:rsid w:val="005A4775"/>
    <w:rsid w:val="005C77F8"/>
    <w:rsid w:val="00604CC8"/>
    <w:rsid w:val="00634C89"/>
    <w:rsid w:val="00687941"/>
    <w:rsid w:val="00726C92"/>
    <w:rsid w:val="007805D1"/>
    <w:rsid w:val="00822BBC"/>
    <w:rsid w:val="008D0728"/>
    <w:rsid w:val="008E25B8"/>
    <w:rsid w:val="00916FA6"/>
    <w:rsid w:val="00974FAD"/>
    <w:rsid w:val="009B372F"/>
    <w:rsid w:val="00A20F27"/>
    <w:rsid w:val="00AF0188"/>
    <w:rsid w:val="00B022D4"/>
    <w:rsid w:val="00C37E35"/>
    <w:rsid w:val="00C83E6C"/>
    <w:rsid w:val="00CE0F10"/>
    <w:rsid w:val="00D977ED"/>
    <w:rsid w:val="00E00D31"/>
    <w:rsid w:val="00E25A16"/>
    <w:rsid w:val="00E83F18"/>
    <w:rsid w:val="00EF0C80"/>
    <w:rsid w:val="00F7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64"/>
    <w:rPr>
      <w:rFonts w:ascii="Tahoma" w:hAnsi="Tahoma" w:cs="Tahoma"/>
      <w:sz w:val="16"/>
      <w:szCs w:val="16"/>
    </w:rPr>
  </w:style>
  <w:style w:type="paragraph" w:styleId="Header">
    <w:name w:val="header"/>
    <w:basedOn w:val="Normal"/>
    <w:link w:val="HeaderChar"/>
    <w:uiPriority w:val="99"/>
    <w:unhideWhenUsed/>
    <w:rsid w:val="00CE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10"/>
  </w:style>
  <w:style w:type="paragraph" w:styleId="Footer">
    <w:name w:val="footer"/>
    <w:basedOn w:val="Normal"/>
    <w:link w:val="FooterChar"/>
    <w:uiPriority w:val="99"/>
    <w:unhideWhenUsed/>
    <w:rsid w:val="00CE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10"/>
  </w:style>
  <w:style w:type="table" w:styleId="TableGrid">
    <w:name w:val="Table Grid"/>
    <w:basedOn w:val="TableNormal"/>
    <w:uiPriority w:val="59"/>
    <w:rsid w:val="0047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64"/>
    <w:rPr>
      <w:rFonts w:ascii="Tahoma" w:hAnsi="Tahoma" w:cs="Tahoma"/>
      <w:sz w:val="16"/>
      <w:szCs w:val="16"/>
    </w:rPr>
  </w:style>
  <w:style w:type="paragraph" w:styleId="Header">
    <w:name w:val="header"/>
    <w:basedOn w:val="Normal"/>
    <w:link w:val="HeaderChar"/>
    <w:uiPriority w:val="99"/>
    <w:unhideWhenUsed/>
    <w:rsid w:val="00CE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10"/>
  </w:style>
  <w:style w:type="paragraph" w:styleId="Footer">
    <w:name w:val="footer"/>
    <w:basedOn w:val="Normal"/>
    <w:link w:val="FooterChar"/>
    <w:uiPriority w:val="99"/>
    <w:unhideWhenUsed/>
    <w:rsid w:val="00CE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10"/>
  </w:style>
  <w:style w:type="table" w:styleId="TableGrid">
    <w:name w:val="Table Grid"/>
    <w:basedOn w:val="TableNormal"/>
    <w:uiPriority w:val="59"/>
    <w:rsid w:val="0047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8FDC-0713-4F67-A841-559196D7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Cathey Justice</dc:creator>
  <cp:lastModifiedBy>Angela Stadler</cp:lastModifiedBy>
  <cp:revision>2</cp:revision>
  <cp:lastPrinted>2014-03-24T13:21:00Z</cp:lastPrinted>
  <dcterms:created xsi:type="dcterms:W3CDTF">2014-09-26T13:56:00Z</dcterms:created>
  <dcterms:modified xsi:type="dcterms:W3CDTF">2014-09-26T13:56:00Z</dcterms:modified>
</cp:coreProperties>
</file>